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F7A8B" w14:textId="77777777" w:rsidR="00562DE3" w:rsidRDefault="00562DE3" w:rsidP="00562DE3">
      <w:pPr>
        <w:widowControl w:val="0"/>
        <w:spacing w:line="240" w:lineRule="auto"/>
        <w:ind w:right="283"/>
        <w:rPr>
          <w:rFonts w:ascii="Times New Roman" w:hAnsi="Times New Roman" w:cs="Times New Roman"/>
          <w:b/>
          <w:sz w:val="24"/>
          <w:szCs w:val="24"/>
        </w:rPr>
      </w:pPr>
      <w:r w:rsidRPr="00562DE3">
        <w:rPr>
          <w:rFonts w:ascii="Times New Roman" w:hAnsi="Times New Roman" w:cs="Times New Roman"/>
          <w:b/>
          <w:sz w:val="24"/>
          <w:szCs w:val="24"/>
        </w:rPr>
        <w:t>Subrecipient Risk Assessment and Monitoring: Best Practices</w:t>
      </w:r>
    </w:p>
    <w:p w14:paraId="70F0D259" w14:textId="2EB23386" w:rsidR="00562DE3" w:rsidRPr="00562DE3" w:rsidRDefault="00562DE3" w:rsidP="00BC1F3C">
      <w:pPr>
        <w:widowControl w:val="0"/>
        <w:spacing w:line="240" w:lineRule="auto"/>
        <w:ind w:right="283"/>
        <w:rPr>
          <w:rFonts w:ascii="Times New Roman" w:hAnsi="Times New Roman" w:cs="Times New Roman"/>
          <w:sz w:val="24"/>
          <w:szCs w:val="24"/>
        </w:rPr>
      </w:pPr>
      <w:r w:rsidRPr="00562DE3">
        <w:rPr>
          <w:rFonts w:ascii="Times New Roman" w:hAnsi="Times New Roman" w:cs="Times New Roman"/>
          <w:sz w:val="24"/>
          <w:szCs w:val="24"/>
        </w:rPr>
        <w:t>Managing subrecipients has proven a particular area of focus under the Uniform Administrative Requirements, Cost Principles, and Audit Requirements for Federal Awards (“Uniform Guidance”). Grant awarding agencies have increased their expectations, looking specifically for proof of risk assessments and subsequent monitoring steps. This presentation will discuss requirements, provide practical strategies that grantees can use to mitigate risk in subrecipient relationships, and illustrate how grantees can significantly increase their controls without creating undue administrative burden.</w:t>
      </w:r>
    </w:p>
    <w:p w14:paraId="6BBE8A21" w14:textId="45583159" w:rsidR="00562DE3" w:rsidRPr="00562DE3" w:rsidRDefault="00562DE3" w:rsidP="00562DE3">
      <w:pPr>
        <w:widowControl w:val="0"/>
        <w:spacing w:line="240" w:lineRule="auto"/>
        <w:ind w:right="283"/>
        <w:rPr>
          <w:rFonts w:ascii="Times New Roman" w:hAnsi="Times New Roman" w:cs="Times New Roman"/>
          <w:i/>
          <w:iCs/>
          <w:sz w:val="24"/>
          <w:szCs w:val="24"/>
        </w:rPr>
      </w:pPr>
      <w:r w:rsidRPr="00562DE3">
        <w:rPr>
          <w:rFonts w:ascii="Times New Roman" w:hAnsi="Times New Roman" w:cs="Times New Roman"/>
          <w:b/>
          <w:bCs/>
          <w:i/>
          <w:iCs/>
          <w:sz w:val="24"/>
          <w:szCs w:val="24"/>
        </w:rPr>
        <w:t>Presenters</w:t>
      </w:r>
      <w:r w:rsidRPr="00562DE3">
        <w:rPr>
          <w:rFonts w:ascii="Times New Roman" w:hAnsi="Times New Roman" w:cs="Times New Roman"/>
          <w:i/>
          <w:iCs/>
          <w:sz w:val="24"/>
          <w:szCs w:val="24"/>
        </w:rPr>
        <w:t xml:space="preserve">: Scott </w:t>
      </w:r>
      <w:proofErr w:type="spellStart"/>
      <w:r w:rsidRPr="00562DE3">
        <w:rPr>
          <w:rFonts w:ascii="Times New Roman" w:hAnsi="Times New Roman" w:cs="Times New Roman"/>
          <w:i/>
          <w:iCs/>
          <w:sz w:val="24"/>
          <w:szCs w:val="24"/>
        </w:rPr>
        <w:t>Sheffler</w:t>
      </w:r>
      <w:proofErr w:type="spellEnd"/>
      <w:r w:rsidRPr="00562DE3">
        <w:rPr>
          <w:rFonts w:ascii="Times New Roman" w:hAnsi="Times New Roman" w:cs="Times New Roman"/>
          <w:i/>
          <w:iCs/>
          <w:sz w:val="24"/>
          <w:szCs w:val="24"/>
        </w:rPr>
        <w:t xml:space="preserve"> and Edward Waters, </w:t>
      </w:r>
      <w:proofErr w:type="spellStart"/>
      <w:r w:rsidRPr="00562DE3">
        <w:rPr>
          <w:rFonts w:ascii="Times New Roman" w:hAnsi="Times New Roman" w:cs="Times New Roman"/>
          <w:i/>
          <w:iCs/>
          <w:sz w:val="24"/>
          <w:szCs w:val="24"/>
        </w:rPr>
        <w:t>Feldesman</w:t>
      </w:r>
      <w:proofErr w:type="spellEnd"/>
      <w:r w:rsidRPr="00562DE3">
        <w:rPr>
          <w:rFonts w:ascii="Times New Roman" w:hAnsi="Times New Roman" w:cs="Times New Roman"/>
          <w:i/>
          <w:iCs/>
          <w:sz w:val="24"/>
          <w:szCs w:val="24"/>
        </w:rPr>
        <w:t xml:space="preserve"> Tucker Leifer </w:t>
      </w:r>
      <w:proofErr w:type="spellStart"/>
      <w:r w:rsidRPr="00562DE3">
        <w:rPr>
          <w:rFonts w:ascii="Times New Roman" w:hAnsi="Times New Roman" w:cs="Times New Roman"/>
          <w:i/>
          <w:iCs/>
          <w:sz w:val="24"/>
          <w:szCs w:val="24"/>
        </w:rPr>
        <w:t>Fidell</w:t>
      </w:r>
      <w:proofErr w:type="spellEnd"/>
      <w:r w:rsidRPr="00562DE3">
        <w:rPr>
          <w:rFonts w:ascii="Times New Roman" w:hAnsi="Times New Roman" w:cs="Times New Roman"/>
          <w:i/>
          <w:iCs/>
          <w:sz w:val="24"/>
          <w:szCs w:val="24"/>
        </w:rPr>
        <w:t xml:space="preserve"> LLP</w:t>
      </w:r>
    </w:p>
    <w:p w14:paraId="7F9E9BA8" w14:textId="77777777" w:rsidR="00562DE3" w:rsidRPr="00562DE3" w:rsidRDefault="00562DE3" w:rsidP="00562DE3">
      <w:pPr>
        <w:widowControl w:val="0"/>
        <w:spacing w:line="240" w:lineRule="auto"/>
        <w:ind w:right="283"/>
        <w:rPr>
          <w:rFonts w:ascii="Times New Roman" w:hAnsi="Times New Roman" w:cs="Times New Roman"/>
          <w:sz w:val="24"/>
          <w:szCs w:val="24"/>
        </w:rPr>
      </w:pPr>
    </w:p>
    <w:p w14:paraId="1C2BBD50" w14:textId="77777777" w:rsidR="00C10FD4" w:rsidRDefault="00C10FD4" w:rsidP="00562DE3">
      <w:pPr>
        <w:widowControl w:val="0"/>
        <w:spacing w:line="240" w:lineRule="auto"/>
        <w:ind w:right="283"/>
        <w:rPr>
          <w:rFonts w:ascii="Times New Roman" w:hAnsi="Times New Roman" w:cs="Times New Roman"/>
          <w:b/>
          <w:sz w:val="24"/>
          <w:szCs w:val="24"/>
        </w:rPr>
      </w:pPr>
      <w:r w:rsidRPr="00C10FD4">
        <w:rPr>
          <w:rFonts w:ascii="Times New Roman" w:hAnsi="Times New Roman" w:cs="Times New Roman"/>
          <w:b/>
          <w:sz w:val="24"/>
          <w:szCs w:val="24"/>
        </w:rPr>
        <w:t>Successful Coordination of Grantor Pre-Award Tasks</w:t>
      </w:r>
    </w:p>
    <w:p w14:paraId="00000006" w14:textId="701F0599" w:rsidR="00360167" w:rsidRDefault="00C10FD4" w:rsidP="00BC1F3C">
      <w:pPr>
        <w:spacing w:line="240" w:lineRule="auto"/>
        <w:rPr>
          <w:rFonts w:ascii="Times New Roman" w:hAnsi="Times New Roman" w:cs="Times New Roman"/>
          <w:sz w:val="24"/>
          <w:szCs w:val="24"/>
        </w:rPr>
      </w:pPr>
      <w:r w:rsidRPr="00C10FD4">
        <w:rPr>
          <w:rFonts w:ascii="Times New Roman" w:hAnsi="Times New Roman" w:cs="Times New Roman"/>
          <w:sz w:val="24"/>
          <w:szCs w:val="24"/>
        </w:rPr>
        <w:t>The pre-award phase of grant program administration and management can be high volume and high stress. Come learn and share best practices and innovative ideas for working smarter, not harder each step of the way. We’ll dive deep into the pre-award phase of the grant lifecycle – from the initial planning meeting and application compliance reviews to reviewer solicitation, panel management, and decision notifications – and discussing strategies to streamline workflows, reduce administrative burden, and drive efficiencies.</w:t>
      </w:r>
    </w:p>
    <w:p w14:paraId="7126C23A" w14:textId="15E78B68" w:rsidR="00C10FD4" w:rsidRPr="00C10FD4" w:rsidRDefault="00C10FD4">
      <w:pPr>
        <w:rPr>
          <w:rFonts w:ascii="Times New Roman" w:hAnsi="Times New Roman" w:cs="Times New Roman"/>
          <w:i/>
          <w:iCs/>
          <w:sz w:val="24"/>
          <w:szCs w:val="24"/>
        </w:rPr>
      </w:pPr>
      <w:r w:rsidRPr="00C10FD4">
        <w:rPr>
          <w:rFonts w:ascii="Times New Roman" w:hAnsi="Times New Roman" w:cs="Times New Roman"/>
          <w:b/>
          <w:bCs/>
          <w:i/>
          <w:iCs/>
          <w:sz w:val="24"/>
          <w:szCs w:val="24"/>
        </w:rPr>
        <w:t>Presenter</w:t>
      </w:r>
      <w:r w:rsidRPr="00C10FD4">
        <w:rPr>
          <w:rFonts w:ascii="Times New Roman" w:hAnsi="Times New Roman" w:cs="Times New Roman"/>
          <w:i/>
          <w:iCs/>
          <w:sz w:val="24"/>
          <w:szCs w:val="24"/>
        </w:rPr>
        <w:t xml:space="preserve">: Rebecca </w:t>
      </w:r>
      <w:proofErr w:type="spellStart"/>
      <w:r w:rsidRPr="00C10FD4">
        <w:rPr>
          <w:rFonts w:ascii="Times New Roman" w:hAnsi="Times New Roman" w:cs="Times New Roman"/>
          <w:i/>
          <w:iCs/>
          <w:sz w:val="24"/>
          <w:szCs w:val="24"/>
        </w:rPr>
        <w:t>Pitkow</w:t>
      </w:r>
      <w:proofErr w:type="spellEnd"/>
      <w:r w:rsidRPr="00C10FD4">
        <w:rPr>
          <w:rFonts w:ascii="Times New Roman" w:hAnsi="Times New Roman" w:cs="Times New Roman"/>
          <w:i/>
          <w:iCs/>
          <w:sz w:val="24"/>
          <w:szCs w:val="24"/>
        </w:rPr>
        <w:t>, Guardians of Honor</w:t>
      </w:r>
    </w:p>
    <w:p w14:paraId="6EDBC568" w14:textId="77777777" w:rsidR="00C10FD4" w:rsidRPr="00562DE3" w:rsidRDefault="00C10FD4">
      <w:pPr>
        <w:rPr>
          <w:rFonts w:ascii="Times New Roman" w:hAnsi="Times New Roman" w:cs="Times New Roman"/>
          <w:b/>
          <w:sz w:val="24"/>
          <w:szCs w:val="24"/>
        </w:rPr>
      </w:pPr>
    </w:p>
    <w:p w14:paraId="1B7497BC" w14:textId="77777777" w:rsidR="00F90B4F" w:rsidRDefault="00F90B4F">
      <w:pPr>
        <w:widowControl w:val="0"/>
        <w:spacing w:line="240" w:lineRule="auto"/>
        <w:rPr>
          <w:rFonts w:ascii="Times New Roman" w:hAnsi="Times New Roman" w:cs="Times New Roman"/>
          <w:b/>
          <w:sz w:val="24"/>
          <w:szCs w:val="24"/>
        </w:rPr>
      </w:pPr>
      <w:r w:rsidRPr="00F90B4F">
        <w:rPr>
          <w:rFonts w:ascii="Times New Roman" w:hAnsi="Times New Roman" w:cs="Times New Roman"/>
          <w:b/>
          <w:sz w:val="24"/>
          <w:szCs w:val="24"/>
        </w:rPr>
        <w:t xml:space="preserve">Grants Financial and Program Management Best Practices </w:t>
      </w:r>
    </w:p>
    <w:p w14:paraId="00000009" w14:textId="0AB2138A" w:rsidR="00360167" w:rsidRDefault="000A668F" w:rsidP="00BC1F3C">
      <w:pPr>
        <w:spacing w:line="240" w:lineRule="auto"/>
        <w:rPr>
          <w:rFonts w:ascii="Times New Roman" w:hAnsi="Times New Roman" w:cs="Times New Roman"/>
          <w:sz w:val="24"/>
          <w:szCs w:val="24"/>
        </w:rPr>
      </w:pPr>
      <w:r w:rsidRPr="000A668F">
        <w:rPr>
          <w:rFonts w:ascii="Times New Roman" w:hAnsi="Times New Roman" w:cs="Times New Roman"/>
          <w:sz w:val="24"/>
          <w:szCs w:val="24"/>
        </w:rPr>
        <w:t>According to US grants.org, the federal government and Maryland's Office of Finance have set aside approximately $12 million and $10 million, respectively, in government financial aid for Marylanders. Grant managers and recipients should implement sound fiscal and program management controls and deliver efficient and effective mission-critical services while ensuring compliance with laws and regulations. Attendees will hear lessons learned from grants audits and the best practices for managing grants from fiscal and program management perspectives.</w:t>
      </w:r>
    </w:p>
    <w:p w14:paraId="6CA44576" w14:textId="55DBB9B8" w:rsidR="000A668F" w:rsidRDefault="000A668F">
      <w:pPr>
        <w:rPr>
          <w:rFonts w:ascii="Times New Roman" w:hAnsi="Times New Roman" w:cs="Times New Roman"/>
          <w:i/>
          <w:iCs/>
          <w:sz w:val="24"/>
          <w:szCs w:val="24"/>
        </w:rPr>
      </w:pPr>
      <w:r w:rsidRPr="000A668F">
        <w:rPr>
          <w:rFonts w:ascii="Times New Roman" w:hAnsi="Times New Roman" w:cs="Times New Roman"/>
          <w:b/>
          <w:bCs/>
          <w:i/>
          <w:iCs/>
          <w:sz w:val="24"/>
          <w:szCs w:val="24"/>
        </w:rPr>
        <w:t>Presenters</w:t>
      </w:r>
      <w:r w:rsidRPr="000A668F">
        <w:rPr>
          <w:rFonts w:ascii="Times New Roman" w:hAnsi="Times New Roman" w:cs="Times New Roman"/>
          <w:i/>
          <w:iCs/>
          <w:sz w:val="24"/>
          <w:szCs w:val="24"/>
        </w:rPr>
        <w:t xml:space="preserve">: Justice </w:t>
      </w:r>
      <w:proofErr w:type="spellStart"/>
      <w:r w:rsidRPr="000A668F">
        <w:rPr>
          <w:rFonts w:ascii="Times New Roman" w:hAnsi="Times New Roman" w:cs="Times New Roman"/>
          <w:i/>
          <w:iCs/>
          <w:sz w:val="24"/>
          <w:szCs w:val="24"/>
        </w:rPr>
        <w:t>Sakyi</w:t>
      </w:r>
      <w:proofErr w:type="spellEnd"/>
      <w:r w:rsidRPr="000A668F">
        <w:rPr>
          <w:rFonts w:ascii="Times New Roman" w:hAnsi="Times New Roman" w:cs="Times New Roman"/>
          <w:i/>
          <w:iCs/>
          <w:sz w:val="24"/>
          <w:szCs w:val="24"/>
        </w:rPr>
        <w:t xml:space="preserve"> and John </w:t>
      </w:r>
      <w:proofErr w:type="spellStart"/>
      <w:r w:rsidRPr="000A668F">
        <w:rPr>
          <w:rFonts w:ascii="Times New Roman" w:hAnsi="Times New Roman" w:cs="Times New Roman"/>
          <w:i/>
          <w:iCs/>
          <w:sz w:val="24"/>
          <w:szCs w:val="24"/>
        </w:rPr>
        <w:t>Yakaitis</w:t>
      </w:r>
      <w:proofErr w:type="spellEnd"/>
      <w:r w:rsidRPr="000A668F">
        <w:rPr>
          <w:rFonts w:ascii="Times New Roman" w:hAnsi="Times New Roman" w:cs="Times New Roman"/>
          <w:i/>
          <w:iCs/>
          <w:sz w:val="24"/>
          <w:szCs w:val="24"/>
        </w:rPr>
        <w:t>, HPBS, LLC</w:t>
      </w:r>
    </w:p>
    <w:p w14:paraId="69709CE3" w14:textId="203F9086" w:rsidR="000A6552" w:rsidRDefault="000A6552">
      <w:pPr>
        <w:rPr>
          <w:rFonts w:ascii="Times New Roman" w:hAnsi="Times New Roman" w:cs="Times New Roman"/>
          <w:i/>
          <w:iCs/>
          <w:sz w:val="24"/>
          <w:szCs w:val="24"/>
        </w:rPr>
      </w:pPr>
    </w:p>
    <w:p w14:paraId="4B13E865" w14:textId="77777777" w:rsidR="00DC5426" w:rsidRDefault="000A6552">
      <w:pPr>
        <w:rPr>
          <w:rFonts w:ascii="Times New Roman" w:hAnsi="Times New Roman" w:cs="Times New Roman"/>
          <w:b/>
          <w:bCs/>
          <w:sz w:val="24"/>
          <w:szCs w:val="24"/>
        </w:rPr>
      </w:pPr>
      <w:r w:rsidRPr="000A6552">
        <w:rPr>
          <w:rFonts w:ascii="Times New Roman" w:hAnsi="Times New Roman" w:cs="Times New Roman"/>
          <w:b/>
          <w:bCs/>
          <w:sz w:val="24"/>
          <w:szCs w:val="24"/>
        </w:rPr>
        <w:t>Grant Writing</w:t>
      </w:r>
    </w:p>
    <w:p w14:paraId="3AC4A0E2" w14:textId="77777777" w:rsidR="00DC5426" w:rsidRPr="00DC5426" w:rsidRDefault="00DC5426" w:rsidP="00BC1F3C">
      <w:pPr>
        <w:spacing w:line="240" w:lineRule="auto"/>
        <w:rPr>
          <w:rFonts w:ascii="Times New Roman" w:hAnsi="Times New Roman" w:cs="Times New Roman"/>
          <w:sz w:val="24"/>
          <w:szCs w:val="24"/>
        </w:rPr>
      </w:pPr>
      <w:r w:rsidRPr="00DC5426">
        <w:rPr>
          <w:rFonts w:ascii="Times New Roman" w:hAnsi="Times New Roman" w:cs="Times New Roman"/>
          <w:sz w:val="24"/>
          <w:szCs w:val="24"/>
        </w:rPr>
        <w:t>Grants can provide resources for your projects, but there are always strings attached. Grant</w:t>
      </w:r>
    </w:p>
    <w:p w14:paraId="245CC536" w14:textId="77777777" w:rsidR="00DC5426" w:rsidRPr="00DC5426" w:rsidRDefault="00DC5426" w:rsidP="00BC1F3C">
      <w:pPr>
        <w:spacing w:line="240" w:lineRule="auto"/>
        <w:rPr>
          <w:rFonts w:ascii="Times New Roman" w:hAnsi="Times New Roman" w:cs="Times New Roman"/>
          <w:sz w:val="24"/>
          <w:szCs w:val="24"/>
        </w:rPr>
      </w:pPr>
      <w:r w:rsidRPr="00DC5426">
        <w:rPr>
          <w:rFonts w:ascii="Times New Roman" w:hAnsi="Times New Roman" w:cs="Times New Roman"/>
          <w:sz w:val="24"/>
          <w:szCs w:val="24"/>
        </w:rPr>
        <w:t>writing requires knowledge and skill. Understanding the criteria and how grants are reviewed</w:t>
      </w:r>
    </w:p>
    <w:p w14:paraId="68A64EC4" w14:textId="7539AEF4" w:rsidR="000A6552" w:rsidRDefault="00DC5426" w:rsidP="00BC1F3C">
      <w:pPr>
        <w:spacing w:line="240" w:lineRule="auto"/>
        <w:rPr>
          <w:rFonts w:ascii="Times New Roman" w:hAnsi="Times New Roman" w:cs="Times New Roman"/>
          <w:i/>
          <w:iCs/>
          <w:sz w:val="24"/>
          <w:szCs w:val="24"/>
        </w:rPr>
      </w:pPr>
      <w:r w:rsidRPr="00DC5426">
        <w:rPr>
          <w:rFonts w:ascii="Times New Roman" w:hAnsi="Times New Roman" w:cs="Times New Roman"/>
          <w:sz w:val="24"/>
          <w:szCs w:val="24"/>
        </w:rPr>
        <w:t xml:space="preserve">and scored can inform the development of a more competitive proposal. </w:t>
      </w:r>
      <w:r>
        <w:rPr>
          <w:rFonts w:ascii="Times New Roman" w:hAnsi="Times New Roman" w:cs="Times New Roman"/>
          <w:sz w:val="24"/>
          <w:szCs w:val="24"/>
        </w:rPr>
        <w:t>In this session we will discuss 1)</w:t>
      </w:r>
      <w:r w:rsidRPr="00DC5426">
        <w:rPr>
          <w:rFonts w:ascii="Times New Roman" w:hAnsi="Times New Roman" w:cs="Times New Roman"/>
          <w:sz w:val="24"/>
          <w:szCs w:val="24"/>
        </w:rPr>
        <w:t xml:space="preserve"> Rais</w:t>
      </w:r>
      <w:r>
        <w:rPr>
          <w:rFonts w:ascii="Times New Roman" w:hAnsi="Times New Roman" w:cs="Times New Roman"/>
          <w:sz w:val="24"/>
          <w:szCs w:val="24"/>
        </w:rPr>
        <w:t>ing</w:t>
      </w:r>
      <w:r w:rsidRPr="00DC5426">
        <w:rPr>
          <w:rFonts w:ascii="Times New Roman" w:hAnsi="Times New Roman" w:cs="Times New Roman"/>
          <w:sz w:val="24"/>
          <w:szCs w:val="24"/>
        </w:rPr>
        <w:t xml:space="preserve"> awareness of federal requirements, priorities, and selection criteria</w:t>
      </w:r>
      <w:r>
        <w:rPr>
          <w:rFonts w:ascii="Times New Roman" w:hAnsi="Times New Roman" w:cs="Times New Roman"/>
          <w:sz w:val="24"/>
          <w:szCs w:val="24"/>
        </w:rPr>
        <w:t>, 2) how to r</w:t>
      </w:r>
      <w:r w:rsidRPr="00DC5426">
        <w:rPr>
          <w:rFonts w:ascii="Times New Roman" w:hAnsi="Times New Roman" w:cs="Times New Roman"/>
          <w:sz w:val="24"/>
          <w:szCs w:val="24"/>
        </w:rPr>
        <w:t>ecognize the difference between merit and risk reviews</w:t>
      </w:r>
      <w:r>
        <w:rPr>
          <w:rFonts w:ascii="Times New Roman" w:hAnsi="Times New Roman" w:cs="Times New Roman"/>
          <w:sz w:val="24"/>
          <w:szCs w:val="24"/>
        </w:rPr>
        <w:t>, 3)</w:t>
      </w:r>
      <w:r w:rsidRPr="00DC5426">
        <w:rPr>
          <w:rFonts w:ascii="Times New Roman" w:hAnsi="Times New Roman" w:cs="Times New Roman"/>
          <w:sz w:val="24"/>
          <w:szCs w:val="24"/>
        </w:rPr>
        <w:t xml:space="preserve"> Identify differences between federal and private grants</w:t>
      </w:r>
      <w:r>
        <w:rPr>
          <w:rFonts w:ascii="Times New Roman" w:hAnsi="Times New Roman" w:cs="Times New Roman"/>
          <w:sz w:val="24"/>
          <w:szCs w:val="24"/>
        </w:rPr>
        <w:t xml:space="preserve">, 4) </w:t>
      </w:r>
      <w:r w:rsidRPr="00DC5426">
        <w:rPr>
          <w:rFonts w:ascii="Times New Roman" w:hAnsi="Times New Roman" w:cs="Times New Roman"/>
          <w:sz w:val="24"/>
          <w:szCs w:val="24"/>
        </w:rPr>
        <w:t>Locate sources for grant opportunities.</w:t>
      </w:r>
      <w:r w:rsidR="000A6552" w:rsidRPr="000A6552">
        <w:rPr>
          <w:rFonts w:ascii="Times New Roman" w:hAnsi="Times New Roman" w:cs="Times New Roman"/>
          <w:b/>
          <w:bCs/>
          <w:sz w:val="24"/>
          <w:szCs w:val="24"/>
        </w:rPr>
        <w:br/>
      </w:r>
      <w:r w:rsidR="000A6552" w:rsidRPr="00DC5426">
        <w:rPr>
          <w:rFonts w:ascii="Times New Roman" w:hAnsi="Times New Roman" w:cs="Times New Roman"/>
          <w:b/>
          <w:bCs/>
          <w:i/>
          <w:iCs/>
          <w:sz w:val="24"/>
          <w:szCs w:val="24"/>
        </w:rPr>
        <w:t>Presenter</w:t>
      </w:r>
      <w:r w:rsidR="000A6552">
        <w:rPr>
          <w:rFonts w:ascii="Times New Roman" w:hAnsi="Times New Roman" w:cs="Times New Roman"/>
          <w:i/>
          <w:iCs/>
          <w:sz w:val="24"/>
          <w:szCs w:val="24"/>
        </w:rPr>
        <w:t>: Karen Norris</w:t>
      </w:r>
    </w:p>
    <w:p w14:paraId="09E0E092" w14:textId="77777777" w:rsidR="000A6552" w:rsidRDefault="000A6552">
      <w:pPr>
        <w:rPr>
          <w:rFonts w:ascii="Times New Roman" w:hAnsi="Times New Roman" w:cs="Times New Roman"/>
          <w:i/>
          <w:iCs/>
          <w:sz w:val="24"/>
          <w:szCs w:val="24"/>
        </w:rPr>
      </w:pPr>
    </w:p>
    <w:p w14:paraId="00CCFE06" w14:textId="77777777" w:rsidR="000A6552" w:rsidRDefault="000A6552" w:rsidP="000A6552">
      <w:pPr>
        <w:widowControl w:val="0"/>
        <w:spacing w:line="240" w:lineRule="auto"/>
        <w:ind w:right="283"/>
        <w:rPr>
          <w:rFonts w:ascii="Times New Roman" w:hAnsi="Times New Roman" w:cs="Times New Roman"/>
          <w:b/>
          <w:sz w:val="24"/>
          <w:szCs w:val="24"/>
        </w:rPr>
      </w:pPr>
      <w:r w:rsidRPr="00F90B4F">
        <w:rPr>
          <w:rFonts w:ascii="Times New Roman" w:hAnsi="Times New Roman" w:cs="Times New Roman"/>
          <w:b/>
          <w:sz w:val="24"/>
          <w:szCs w:val="24"/>
        </w:rPr>
        <w:t xml:space="preserve">Preparedness and Disaster Assistance </w:t>
      </w:r>
    </w:p>
    <w:p w14:paraId="5339DD8E" w14:textId="77777777" w:rsidR="000A6552" w:rsidRDefault="000A6552" w:rsidP="00BF75D6">
      <w:pPr>
        <w:widowControl w:val="0"/>
        <w:spacing w:line="240" w:lineRule="auto"/>
        <w:rPr>
          <w:rFonts w:ascii="Times New Roman" w:hAnsi="Times New Roman" w:cs="Times New Roman"/>
          <w:sz w:val="24"/>
          <w:szCs w:val="24"/>
        </w:rPr>
      </w:pPr>
      <w:r w:rsidRPr="00F90B4F">
        <w:rPr>
          <w:rFonts w:ascii="Times New Roman" w:hAnsi="Times New Roman" w:cs="Times New Roman"/>
          <w:sz w:val="24"/>
          <w:szCs w:val="24"/>
        </w:rPr>
        <w:t>The Maryland Department of Emergency Management oversees the grants that Maryland receives to assist with preparedness, mitigation, and recovery efforts. The Department works with state and local agencies in ensuring funds are being used appropriately and are increasing preparedness and resilience levels in Maryland.  Discussion today will focus on preparedness and disaster assistance.</w:t>
      </w:r>
    </w:p>
    <w:p w14:paraId="6DF58553" w14:textId="3D82D10F" w:rsidR="000A6552" w:rsidRDefault="000A6552" w:rsidP="000A6552">
      <w:pPr>
        <w:widowControl w:val="0"/>
        <w:spacing w:line="240" w:lineRule="auto"/>
        <w:ind w:right="283"/>
        <w:rPr>
          <w:rFonts w:ascii="Times New Roman" w:hAnsi="Times New Roman" w:cs="Times New Roman"/>
          <w:i/>
          <w:iCs/>
          <w:sz w:val="24"/>
          <w:szCs w:val="24"/>
        </w:rPr>
      </w:pPr>
      <w:r w:rsidRPr="00F90B4F">
        <w:rPr>
          <w:rFonts w:ascii="Times New Roman" w:hAnsi="Times New Roman" w:cs="Times New Roman"/>
          <w:b/>
          <w:bCs/>
          <w:i/>
          <w:iCs/>
          <w:sz w:val="24"/>
          <w:szCs w:val="24"/>
        </w:rPr>
        <w:t>Presenters</w:t>
      </w:r>
      <w:r w:rsidRPr="00F90B4F">
        <w:rPr>
          <w:rFonts w:ascii="Times New Roman" w:hAnsi="Times New Roman" w:cs="Times New Roman"/>
          <w:i/>
          <w:iCs/>
          <w:sz w:val="24"/>
          <w:szCs w:val="24"/>
        </w:rPr>
        <w:t xml:space="preserve">: Danielle Whitestone, Cait </w:t>
      </w:r>
      <w:proofErr w:type="spellStart"/>
      <w:r w:rsidRPr="00F90B4F">
        <w:rPr>
          <w:rFonts w:ascii="Times New Roman" w:hAnsi="Times New Roman" w:cs="Times New Roman"/>
          <w:i/>
          <w:iCs/>
          <w:sz w:val="24"/>
          <w:szCs w:val="24"/>
        </w:rPr>
        <w:t>Whiteleather</w:t>
      </w:r>
      <w:proofErr w:type="spellEnd"/>
      <w:r w:rsidRPr="00F90B4F">
        <w:rPr>
          <w:rFonts w:ascii="Times New Roman" w:hAnsi="Times New Roman" w:cs="Times New Roman"/>
          <w:i/>
          <w:iCs/>
          <w:sz w:val="24"/>
          <w:szCs w:val="24"/>
        </w:rPr>
        <w:t xml:space="preserve">, Nora </w:t>
      </w:r>
      <w:proofErr w:type="spellStart"/>
      <w:r w:rsidRPr="00F90B4F">
        <w:rPr>
          <w:rFonts w:ascii="Times New Roman" w:hAnsi="Times New Roman" w:cs="Times New Roman"/>
          <w:i/>
          <w:iCs/>
          <w:sz w:val="24"/>
          <w:szCs w:val="24"/>
        </w:rPr>
        <w:t>Lagola</w:t>
      </w:r>
      <w:proofErr w:type="spellEnd"/>
      <w:r w:rsidRPr="00F90B4F">
        <w:rPr>
          <w:rFonts w:ascii="Times New Roman" w:hAnsi="Times New Roman" w:cs="Times New Roman"/>
          <w:i/>
          <w:iCs/>
          <w:sz w:val="24"/>
          <w:szCs w:val="24"/>
        </w:rPr>
        <w:t>, Jessica Nusbaum, Maryland Department of Emergency Management</w:t>
      </w:r>
    </w:p>
    <w:p w14:paraId="5E9B01F1" w14:textId="7BA65E0D" w:rsidR="00BC1F3C" w:rsidRDefault="00BC1F3C" w:rsidP="000A6552">
      <w:pPr>
        <w:widowControl w:val="0"/>
        <w:spacing w:line="240" w:lineRule="auto"/>
        <w:ind w:right="283"/>
        <w:rPr>
          <w:rFonts w:ascii="Times New Roman" w:hAnsi="Times New Roman" w:cs="Times New Roman"/>
          <w:i/>
          <w:iCs/>
          <w:sz w:val="24"/>
          <w:szCs w:val="24"/>
        </w:rPr>
      </w:pPr>
    </w:p>
    <w:p w14:paraId="31E6EC13" w14:textId="77777777" w:rsidR="00FD6CB4" w:rsidRDefault="00FD6CB4">
      <w:pPr>
        <w:spacing w:line="240" w:lineRule="auto"/>
        <w:rPr>
          <w:rFonts w:ascii="Times New Roman" w:hAnsi="Times New Roman" w:cs="Times New Roman"/>
          <w:b/>
          <w:sz w:val="24"/>
          <w:szCs w:val="24"/>
        </w:rPr>
      </w:pPr>
      <w:r w:rsidRPr="00FD6CB4">
        <w:rPr>
          <w:rFonts w:ascii="Times New Roman" w:hAnsi="Times New Roman" w:cs="Times New Roman"/>
          <w:b/>
          <w:sz w:val="24"/>
          <w:szCs w:val="24"/>
        </w:rPr>
        <w:lastRenderedPageBreak/>
        <w:t>Grants Quality Services Management Office: Program Overview</w:t>
      </w:r>
    </w:p>
    <w:p w14:paraId="0000001B" w14:textId="29137938" w:rsidR="00360167" w:rsidRDefault="00FD6CB4" w:rsidP="00BC1F3C">
      <w:pPr>
        <w:spacing w:line="240" w:lineRule="auto"/>
        <w:rPr>
          <w:rFonts w:ascii="Times New Roman" w:hAnsi="Times New Roman" w:cs="Times New Roman"/>
          <w:sz w:val="24"/>
          <w:szCs w:val="24"/>
        </w:rPr>
      </w:pPr>
      <w:r w:rsidRPr="00FD6CB4">
        <w:rPr>
          <w:rFonts w:ascii="Times New Roman" w:hAnsi="Times New Roman" w:cs="Times New Roman"/>
          <w:sz w:val="24"/>
          <w:szCs w:val="24"/>
        </w:rPr>
        <w:t xml:space="preserve">The Grants Management Quality Service Management Office (QSMO) was formally designated in January 2021 to transform government-wide grants management end-to-end. </w:t>
      </w:r>
      <w:r>
        <w:rPr>
          <w:rFonts w:ascii="Times New Roman" w:hAnsi="Times New Roman" w:cs="Times New Roman"/>
          <w:sz w:val="24"/>
          <w:szCs w:val="24"/>
        </w:rPr>
        <w:t>Presentation will focus</w:t>
      </w:r>
      <w:r w:rsidRPr="00FD6CB4">
        <w:rPr>
          <w:rFonts w:ascii="Times New Roman" w:hAnsi="Times New Roman" w:cs="Times New Roman"/>
          <w:sz w:val="24"/>
          <w:szCs w:val="24"/>
        </w:rPr>
        <w:t xml:space="preserve"> on the Grants QSMO current initiatives, their path ahead, and gather insights from Maryland State recipients on how the Grants QSMO can best improve federal grants management for recipients and applicants.</w:t>
      </w:r>
    </w:p>
    <w:p w14:paraId="6B1E1968" w14:textId="01E1B7EE" w:rsidR="00FD6CB4" w:rsidRPr="00FD6CB4" w:rsidRDefault="00FD6CB4">
      <w:pPr>
        <w:rPr>
          <w:rFonts w:ascii="Times New Roman" w:hAnsi="Times New Roman" w:cs="Times New Roman"/>
          <w:b/>
          <w:bCs/>
          <w:i/>
          <w:iCs/>
          <w:sz w:val="24"/>
          <w:szCs w:val="24"/>
        </w:rPr>
      </w:pPr>
      <w:r w:rsidRPr="00FD6CB4">
        <w:rPr>
          <w:rFonts w:ascii="Times New Roman" w:hAnsi="Times New Roman" w:cs="Times New Roman"/>
          <w:b/>
          <w:bCs/>
          <w:i/>
          <w:iCs/>
          <w:sz w:val="24"/>
          <w:szCs w:val="24"/>
        </w:rPr>
        <w:t>Presenters</w:t>
      </w:r>
      <w:r w:rsidRPr="00FD6CB4">
        <w:rPr>
          <w:rFonts w:ascii="Times New Roman" w:hAnsi="Times New Roman" w:cs="Times New Roman"/>
          <w:i/>
          <w:iCs/>
          <w:sz w:val="24"/>
          <w:szCs w:val="24"/>
        </w:rPr>
        <w:t xml:space="preserve">: Andrea </w:t>
      </w:r>
      <w:proofErr w:type="spellStart"/>
      <w:r w:rsidRPr="00FD6CB4">
        <w:rPr>
          <w:rFonts w:ascii="Times New Roman" w:hAnsi="Times New Roman" w:cs="Times New Roman"/>
          <w:i/>
          <w:iCs/>
          <w:sz w:val="24"/>
          <w:szCs w:val="24"/>
        </w:rPr>
        <w:t>Sampanis</w:t>
      </w:r>
      <w:proofErr w:type="spellEnd"/>
      <w:r w:rsidRPr="00FD6CB4">
        <w:rPr>
          <w:rFonts w:ascii="Times New Roman" w:hAnsi="Times New Roman" w:cs="Times New Roman"/>
          <w:i/>
          <w:iCs/>
          <w:sz w:val="24"/>
          <w:szCs w:val="24"/>
        </w:rPr>
        <w:t xml:space="preserve"> and Mary Beth Foley, Grants Management Quality Service Management Office</w:t>
      </w:r>
    </w:p>
    <w:p w14:paraId="2A788DC1" w14:textId="77777777" w:rsidR="00FD6CB4" w:rsidRPr="00562DE3" w:rsidRDefault="00FD6CB4">
      <w:pPr>
        <w:rPr>
          <w:rFonts w:ascii="Times New Roman" w:hAnsi="Times New Roman" w:cs="Times New Roman"/>
          <w:sz w:val="24"/>
          <w:szCs w:val="24"/>
        </w:rPr>
      </w:pPr>
    </w:p>
    <w:p w14:paraId="71863535" w14:textId="77777777" w:rsidR="00E22FB8" w:rsidRDefault="00E22FB8" w:rsidP="00E22FB8">
      <w:pPr>
        <w:spacing w:line="240" w:lineRule="auto"/>
        <w:rPr>
          <w:rFonts w:ascii="Times New Roman" w:hAnsi="Times New Roman" w:cs="Times New Roman"/>
          <w:b/>
          <w:sz w:val="24"/>
          <w:szCs w:val="24"/>
        </w:rPr>
      </w:pPr>
      <w:r w:rsidRPr="00E22FB8">
        <w:rPr>
          <w:rFonts w:ascii="Times New Roman" w:hAnsi="Times New Roman" w:cs="Times New Roman"/>
          <w:b/>
          <w:sz w:val="24"/>
          <w:szCs w:val="24"/>
        </w:rPr>
        <w:t xml:space="preserve">Understanding the Performance Playbook: how you can use performance management best practices to tell your grant program’s story </w:t>
      </w:r>
    </w:p>
    <w:p w14:paraId="09671A9D" w14:textId="7BBC7A3A" w:rsidR="00E22FB8" w:rsidRDefault="00E22FB8" w:rsidP="00BF75D6">
      <w:pPr>
        <w:widowControl w:val="0"/>
        <w:spacing w:line="240" w:lineRule="auto"/>
        <w:rPr>
          <w:rFonts w:ascii="Times New Roman" w:hAnsi="Times New Roman" w:cs="Times New Roman"/>
          <w:sz w:val="24"/>
          <w:szCs w:val="24"/>
        </w:rPr>
      </w:pPr>
      <w:r w:rsidRPr="00E22FB8">
        <w:rPr>
          <w:rFonts w:ascii="Times New Roman" w:hAnsi="Times New Roman" w:cs="Times New Roman"/>
          <w:sz w:val="24"/>
          <w:szCs w:val="24"/>
        </w:rPr>
        <w:t xml:space="preserve">The Performance Management Playbook (“Playbook”) enables federal agencies to effectively tell the STORY of a grant by incorporating evidence-based practices and performance measurement. This session will identify the key concepts of this important resource most applicable grant-making entities, highlight universal best practices in performance management, and guide participants through a hands-on “performance outcome mapping” activity based on a DOJ grant. </w:t>
      </w:r>
    </w:p>
    <w:p w14:paraId="08A9EBAD" w14:textId="7826AC97" w:rsidR="00E22FB8" w:rsidRPr="00E22FB8" w:rsidRDefault="00E22FB8" w:rsidP="00E22FB8">
      <w:pPr>
        <w:widowControl w:val="0"/>
        <w:spacing w:line="240" w:lineRule="auto"/>
        <w:ind w:right="283"/>
        <w:rPr>
          <w:rFonts w:ascii="Times New Roman" w:hAnsi="Times New Roman" w:cs="Times New Roman"/>
          <w:i/>
          <w:iCs/>
          <w:sz w:val="24"/>
          <w:szCs w:val="24"/>
        </w:rPr>
      </w:pPr>
      <w:r w:rsidRPr="00E22FB8">
        <w:rPr>
          <w:rFonts w:ascii="Times New Roman" w:hAnsi="Times New Roman" w:cs="Times New Roman"/>
          <w:b/>
          <w:bCs/>
          <w:i/>
          <w:iCs/>
          <w:sz w:val="24"/>
          <w:szCs w:val="24"/>
        </w:rPr>
        <w:t>Presenter</w:t>
      </w:r>
      <w:r w:rsidRPr="00E22FB8">
        <w:rPr>
          <w:rFonts w:ascii="Times New Roman" w:hAnsi="Times New Roman" w:cs="Times New Roman"/>
          <w:i/>
          <w:iCs/>
          <w:sz w:val="24"/>
          <w:szCs w:val="24"/>
        </w:rPr>
        <w:t>: Lydia Kidder, Summit LLC</w:t>
      </w:r>
    </w:p>
    <w:p w14:paraId="54B3F284" w14:textId="77777777" w:rsidR="00BF75D6" w:rsidRDefault="00BF75D6">
      <w:pPr>
        <w:widowControl w:val="0"/>
        <w:spacing w:line="240" w:lineRule="auto"/>
        <w:ind w:right="283"/>
        <w:rPr>
          <w:rFonts w:ascii="Times New Roman" w:hAnsi="Times New Roman" w:cs="Times New Roman"/>
          <w:b/>
          <w:sz w:val="24"/>
          <w:szCs w:val="24"/>
        </w:rPr>
      </w:pPr>
    </w:p>
    <w:p w14:paraId="6D2A915E" w14:textId="71D35D6C" w:rsidR="00677E63" w:rsidRDefault="00677E63">
      <w:pPr>
        <w:widowControl w:val="0"/>
        <w:spacing w:line="240" w:lineRule="auto"/>
        <w:ind w:right="283"/>
        <w:rPr>
          <w:rFonts w:ascii="Times New Roman" w:hAnsi="Times New Roman" w:cs="Times New Roman"/>
          <w:b/>
          <w:sz w:val="24"/>
          <w:szCs w:val="24"/>
        </w:rPr>
      </w:pPr>
      <w:r w:rsidRPr="00677E63">
        <w:rPr>
          <w:rFonts w:ascii="Times New Roman" w:hAnsi="Times New Roman" w:cs="Times New Roman"/>
          <w:b/>
          <w:sz w:val="24"/>
          <w:szCs w:val="24"/>
        </w:rPr>
        <w:t xml:space="preserve">Fraud and Federal Grants: Enforcement Update </w:t>
      </w:r>
    </w:p>
    <w:p w14:paraId="28648442" w14:textId="77777777" w:rsidR="00677E63" w:rsidRPr="00677E63" w:rsidRDefault="00677E63" w:rsidP="00BF75D6">
      <w:pPr>
        <w:widowControl w:val="0"/>
        <w:spacing w:line="240" w:lineRule="auto"/>
        <w:rPr>
          <w:rFonts w:ascii="Times New Roman" w:hAnsi="Times New Roman" w:cs="Times New Roman"/>
          <w:sz w:val="24"/>
          <w:szCs w:val="24"/>
        </w:rPr>
      </w:pPr>
      <w:r w:rsidRPr="00677E63">
        <w:rPr>
          <w:rFonts w:ascii="Times New Roman" w:hAnsi="Times New Roman" w:cs="Times New Roman"/>
          <w:sz w:val="24"/>
          <w:szCs w:val="24"/>
        </w:rPr>
        <w:t>From financial conflicts of interest to foreign</w:t>
      </w:r>
    </w:p>
    <w:p w14:paraId="00000021" w14:textId="59BFE519" w:rsidR="00360167" w:rsidRDefault="00677E63" w:rsidP="00BF75D6">
      <w:pPr>
        <w:widowControl w:val="0"/>
        <w:spacing w:line="240" w:lineRule="auto"/>
        <w:rPr>
          <w:rFonts w:ascii="Times New Roman" w:hAnsi="Times New Roman" w:cs="Times New Roman"/>
          <w:sz w:val="24"/>
          <w:szCs w:val="24"/>
        </w:rPr>
      </w:pPr>
      <w:r w:rsidRPr="00677E63">
        <w:rPr>
          <w:rFonts w:ascii="Times New Roman" w:hAnsi="Times New Roman" w:cs="Times New Roman"/>
          <w:sz w:val="24"/>
          <w:szCs w:val="24"/>
        </w:rPr>
        <w:t>disclosure requirements, enforcement authorities have ramped up grant compliance</w:t>
      </w:r>
      <w:r w:rsidR="00BF75D6">
        <w:rPr>
          <w:rFonts w:ascii="Times New Roman" w:hAnsi="Times New Roman" w:cs="Times New Roman"/>
          <w:sz w:val="24"/>
          <w:szCs w:val="24"/>
        </w:rPr>
        <w:t xml:space="preserve"> </w:t>
      </w:r>
      <w:r w:rsidRPr="00677E63">
        <w:rPr>
          <w:rFonts w:ascii="Times New Roman" w:hAnsi="Times New Roman" w:cs="Times New Roman"/>
          <w:sz w:val="24"/>
          <w:szCs w:val="24"/>
        </w:rPr>
        <w:t>investigations, and grant recipients must understand the risks of criminal, civil and</w:t>
      </w:r>
      <w:r w:rsidR="00BF75D6">
        <w:rPr>
          <w:rFonts w:ascii="Times New Roman" w:hAnsi="Times New Roman" w:cs="Times New Roman"/>
          <w:sz w:val="24"/>
          <w:szCs w:val="24"/>
        </w:rPr>
        <w:t xml:space="preserve"> </w:t>
      </w:r>
      <w:r w:rsidRPr="00677E63">
        <w:rPr>
          <w:rFonts w:ascii="Times New Roman" w:hAnsi="Times New Roman" w:cs="Times New Roman"/>
          <w:sz w:val="24"/>
          <w:szCs w:val="24"/>
        </w:rPr>
        <w:t>administrative actions relating to fraud or other violations of law. This session will cover the</w:t>
      </w:r>
      <w:r w:rsidR="00BF75D6">
        <w:rPr>
          <w:rFonts w:ascii="Times New Roman" w:hAnsi="Times New Roman" w:cs="Times New Roman"/>
          <w:sz w:val="24"/>
          <w:szCs w:val="24"/>
        </w:rPr>
        <w:t xml:space="preserve"> </w:t>
      </w:r>
      <w:r w:rsidRPr="00677E63">
        <w:rPr>
          <w:rFonts w:ascii="Times New Roman" w:hAnsi="Times New Roman" w:cs="Times New Roman"/>
          <w:sz w:val="24"/>
          <w:szCs w:val="24"/>
        </w:rPr>
        <w:t>tools available to the government when investigating suspected allegations of fraud, examples</w:t>
      </w:r>
      <w:r w:rsidR="00BF75D6">
        <w:rPr>
          <w:rFonts w:ascii="Times New Roman" w:hAnsi="Times New Roman" w:cs="Times New Roman"/>
          <w:sz w:val="24"/>
          <w:szCs w:val="24"/>
        </w:rPr>
        <w:t xml:space="preserve"> </w:t>
      </w:r>
      <w:r w:rsidRPr="00677E63">
        <w:rPr>
          <w:rFonts w:ascii="Times New Roman" w:hAnsi="Times New Roman" w:cs="Times New Roman"/>
          <w:sz w:val="24"/>
          <w:szCs w:val="24"/>
        </w:rPr>
        <w:t>of recent enforcement actions and OIG areas of focus, and best practices for avoiding such</w:t>
      </w:r>
      <w:r w:rsidR="00BF75D6">
        <w:rPr>
          <w:rFonts w:ascii="Times New Roman" w:hAnsi="Times New Roman" w:cs="Times New Roman"/>
          <w:sz w:val="24"/>
          <w:szCs w:val="24"/>
        </w:rPr>
        <w:t xml:space="preserve"> </w:t>
      </w:r>
      <w:r w:rsidRPr="00677E63">
        <w:rPr>
          <w:rFonts w:ascii="Times New Roman" w:hAnsi="Times New Roman" w:cs="Times New Roman"/>
          <w:sz w:val="24"/>
          <w:szCs w:val="24"/>
        </w:rPr>
        <w:t>allegations altogether.</w:t>
      </w:r>
    </w:p>
    <w:p w14:paraId="36F2F18F" w14:textId="2572DAA4" w:rsidR="00677E63" w:rsidRDefault="00677E63" w:rsidP="00677E63">
      <w:pPr>
        <w:widowControl w:val="0"/>
        <w:spacing w:line="240" w:lineRule="auto"/>
        <w:ind w:right="283"/>
        <w:rPr>
          <w:rFonts w:ascii="Times New Roman" w:hAnsi="Times New Roman" w:cs="Times New Roman"/>
          <w:i/>
          <w:iCs/>
          <w:sz w:val="24"/>
          <w:szCs w:val="24"/>
        </w:rPr>
      </w:pPr>
      <w:r w:rsidRPr="001F4A44">
        <w:rPr>
          <w:rFonts w:ascii="Times New Roman" w:hAnsi="Times New Roman" w:cs="Times New Roman"/>
          <w:b/>
          <w:bCs/>
          <w:i/>
          <w:iCs/>
          <w:sz w:val="24"/>
          <w:szCs w:val="24"/>
        </w:rPr>
        <w:t>Presenter</w:t>
      </w:r>
      <w:r w:rsidRPr="001F4A44">
        <w:rPr>
          <w:rFonts w:ascii="Times New Roman" w:hAnsi="Times New Roman" w:cs="Times New Roman"/>
          <w:i/>
          <w:iCs/>
          <w:sz w:val="24"/>
          <w:szCs w:val="24"/>
        </w:rPr>
        <w:t xml:space="preserve">: Kathy S. </w:t>
      </w:r>
      <w:proofErr w:type="spellStart"/>
      <w:r w:rsidRPr="001F4A44">
        <w:rPr>
          <w:rFonts w:ascii="Times New Roman" w:hAnsi="Times New Roman" w:cs="Times New Roman"/>
          <w:i/>
          <w:iCs/>
          <w:sz w:val="24"/>
          <w:szCs w:val="24"/>
        </w:rPr>
        <w:t>Ghiladi</w:t>
      </w:r>
      <w:proofErr w:type="spellEnd"/>
      <w:r w:rsidRPr="001F4A44">
        <w:rPr>
          <w:rFonts w:ascii="Times New Roman" w:hAnsi="Times New Roman" w:cs="Times New Roman"/>
          <w:i/>
          <w:iCs/>
          <w:sz w:val="24"/>
          <w:szCs w:val="24"/>
        </w:rPr>
        <w:t xml:space="preserve"> and </w:t>
      </w:r>
      <w:r w:rsidR="001F4A44" w:rsidRPr="001F4A44">
        <w:rPr>
          <w:rFonts w:ascii="Times New Roman" w:hAnsi="Times New Roman" w:cs="Times New Roman"/>
          <w:i/>
          <w:iCs/>
          <w:sz w:val="24"/>
          <w:szCs w:val="24"/>
        </w:rPr>
        <w:t xml:space="preserve">Mindy B. </w:t>
      </w:r>
      <w:proofErr w:type="spellStart"/>
      <w:r w:rsidR="001F4A44" w:rsidRPr="001F4A44">
        <w:rPr>
          <w:rFonts w:ascii="Times New Roman" w:hAnsi="Times New Roman" w:cs="Times New Roman"/>
          <w:i/>
          <w:iCs/>
          <w:sz w:val="24"/>
          <w:szCs w:val="24"/>
        </w:rPr>
        <w:t>Pava</w:t>
      </w:r>
      <w:proofErr w:type="spellEnd"/>
      <w:r w:rsidR="001F4A44">
        <w:rPr>
          <w:rFonts w:ascii="Times New Roman" w:hAnsi="Times New Roman" w:cs="Times New Roman"/>
          <w:sz w:val="24"/>
          <w:szCs w:val="24"/>
        </w:rPr>
        <w:t xml:space="preserve">, </w:t>
      </w:r>
      <w:proofErr w:type="spellStart"/>
      <w:r w:rsidR="001F4A44" w:rsidRPr="00562DE3">
        <w:rPr>
          <w:rFonts w:ascii="Times New Roman" w:hAnsi="Times New Roman" w:cs="Times New Roman"/>
          <w:i/>
          <w:iCs/>
          <w:sz w:val="24"/>
          <w:szCs w:val="24"/>
        </w:rPr>
        <w:t>Feldesman</w:t>
      </w:r>
      <w:proofErr w:type="spellEnd"/>
      <w:r w:rsidR="001F4A44" w:rsidRPr="00562DE3">
        <w:rPr>
          <w:rFonts w:ascii="Times New Roman" w:hAnsi="Times New Roman" w:cs="Times New Roman"/>
          <w:i/>
          <w:iCs/>
          <w:sz w:val="24"/>
          <w:szCs w:val="24"/>
        </w:rPr>
        <w:t xml:space="preserve"> Tucker Leifer </w:t>
      </w:r>
      <w:proofErr w:type="spellStart"/>
      <w:r w:rsidR="001F4A44" w:rsidRPr="00562DE3">
        <w:rPr>
          <w:rFonts w:ascii="Times New Roman" w:hAnsi="Times New Roman" w:cs="Times New Roman"/>
          <w:i/>
          <w:iCs/>
          <w:sz w:val="24"/>
          <w:szCs w:val="24"/>
        </w:rPr>
        <w:t>Fidell</w:t>
      </w:r>
      <w:proofErr w:type="spellEnd"/>
      <w:r w:rsidR="001F4A44" w:rsidRPr="00562DE3">
        <w:rPr>
          <w:rFonts w:ascii="Times New Roman" w:hAnsi="Times New Roman" w:cs="Times New Roman"/>
          <w:i/>
          <w:iCs/>
          <w:sz w:val="24"/>
          <w:szCs w:val="24"/>
        </w:rPr>
        <w:t xml:space="preserve"> LLP</w:t>
      </w:r>
    </w:p>
    <w:p w14:paraId="423A8318" w14:textId="59C40E6D" w:rsidR="001F4A44" w:rsidRDefault="001F4A44" w:rsidP="00677E63">
      <w:pPr>
        <w:widowControl w:val="0"/>
        <w:spacing w:line="240" w:lineRule="auto"/>
        <w:ind w:right="283"/>
        <w:rPr>
          <w:rFonts w:ascii="Times New Roman" w:hAnsi="Times New Roman" w:cs="Times New Roman"/>
          <w:i/>
          <w:iCs/>
          <w:sz w:val="24"/>
          <w:szCs w:val="24"/>
        </w:rPr>
      </w:pPr>
    </w:p>
    <w:p w14:paraId="00000022" w14:textId="4263EFC8" w:rsidR="00360167" w:rsidRPr="00562DE3" w:rsidRDefault="00674006">
      <w:pPr>
        <w:spacing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rPr>
        <w:t>Indirect Cost Rate Issues between Pass-Through Entities and Nonprofits</w:t>
      </w:r>
    </w:p>
    <w:p w14:paraId="00000024" w14:textId="08967AF8" w:rsidR="00360167" w:rsidRDefault="00674006" w:rsidP="00BC1F3C">
      <w:pPr>
        <w:spacing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This session will explore the following topics: </w:t>
      </w:r>
      <w:r w:rsidRPr="00674006">
        <w:rPr>
          <w:rFonts w:ascii="Times New Roman" w:hAnsi="Times New Roman" w:cs="Times New Roman"/>
          <w:color w:val="222222"/>
          <w:sz w:val="24"/>
          <w:szCs w:val="24"/>
        </w:rPr>
        <w:t>Negotiating indirect rates with Pass-Through Entities (PTE) and alternative indirect cost recovery methods</w:t>
      </w:r>
      <w:r>
        <w:rPr>
          <w:rFonts w:ascii="Times New Roman" w:hAnsi="Times New Roman" w:cs="Times New Roman"/>
          <w:color w:val="222222"/>
          <w:sz w:val="24"/>
          <w:szCs w:val="24"/>
        </w:rPr>
        <w:t xml:space="preserve">; </w:t>
      </w:r>
      <w:r w:rsidRPr="00674006">
        <w:rPr>
          <w:rFonts w:ascii="Times New Roman" w:hAnsi="Times New Roman" w:cs="Times New Roman"/>
          <w:color w:val="222222"/>
          <w:sz w:val="24"/>
          <w:szCs w:val="24"/>
        </w:rPr>
        <w:t>Applying the PPP Loan Forgiveness credit</w:t>
      </w:r>
      <w:r>
        <w:rPr>
          <w:rFonts w:ascii="Times New Roman" w:hAnsi="Times New Roman" w:cs="Times New Roman"/>
          <w:color w:val="222222"/>
          <w:sz w:val="24"/>
          <w:szCs w:val="24"/>
        </w:rPr>
        <w:t xml:space="preserve">; </w:t>
      </w:r>
      <w:r w:rsidRPr="00674006">
        <w:rPr>
          <w:rFonts w:ascii="Times New Roman" w:hAnsi="Times New Roman" w:cs="Times New Roman"/>
          <w:color w:val="222222"/>
          <w:sz w:val="24"/>
          <w:szCs w:val="24"/>
        </w:rPr>
        <w:t>sub-awards and the MTDC allocation base</w:t>
      </w:r>
      <w:r>
        <w:rPr>
          <w:rFonts w:ascii="Times New Roman" w:hAnsi="Times New Roman" w:cs="Times New Roman"/>
          <w:color w:val="222222"/>
          <w:sz w:val="24"/>
          <w:szCs w:val="24"/>
        </w:rPr>
        <w:t xml:space="preserve">; </w:t>
      </w:r>
      <w:r w:rsidRPr="00674006">
        <w:rPr>
          <w:rFonts w:ascii="Times New Roman" w:hAnsi="Times New Roman" w:cs="Times New Roman"/>
          <w:color w:val="222222"/>
          <w:sz w:val="24"/>
          <w:szCs w:val="24"/>
        </w:rPr>
        <w:t>DC and MD State rules for PTEs</w:t>
      </w:r>
      <w:r>
        <w:rPr>
          <w:rFonts w:ascii="Times New Roman" w:hAnsi="Times New Roman" w:cs="Times New Roman"/>
          <w:color w:val="222222"/>
          <w:sz w:val="24"/>
          <w:szCs w:val="24"/>
        </w:rPr>
        <w:t xml:space="preserve">; </w:t>
      </w:r>
      <w:r w:rsidRPr="00674006">
        <w:rPr>
          <w:rFonts w:ascii="Times New Roman" w:hAnsi="Times New Roman" w:cs="Times New Roman"/>
          <w:color w:val="222222"/>
          <w:sz w:val="24"/>
          <w:szCs w:val="24"/>
        </w:rPr>
        <w:t>Uniform Guidance FAQs regarding indirect rates for States and Municipalities</w:t>
      </w:r>
      <w:r>
        <w:rPr>
          <w:rFonts w:ascii="Times New Roman" w:hAnsi="Times New Roman" w:cs="Times New Roman"/>
          <w:color w:val="222222"/>
          <w:sz w:val="24"/>
          <w:szCs w:val="24"/>
        </w:rPr>
        <w:t xml:space="preserve">; </w:t>
      </w:r>
      <w:r w:rsidRPr="00674006">
        <w:rPr>
          <w:rFonts w:ascii="Times New Roman" w:hAnsi="Times New Roman" w:cs="Times New Roman"/>
          <w:color w:val="222222"/>
          <w:sz w:val="24"/>
          <w:szCs w:val="24"/>
        </w:rPr>
        <w:t>Recently issued FAQs that impact indirect rates and cost recovery,</w:t>
      </w:r>
      <w:r>
        <w:rPr>
          <w:rFonts w:ascii="Times New Roman" w:hAnsi="Times New Roman" w:cs="Times New Roman"/>
          <w:color w:val="222222"/>
          <w:sz w:val="24"/>
          <w:szCs w:val="24"/>
        </w:rPr>
        <w:t xml:space="preserve"> and o</w:t>
      </w:r>
      <w:r w:rsidRPr="00674006">
        <w:rPr>
          <w:rFonts w:ascii="Times New Roman" w:hAnsi="Times New Roman" w:cs="Times New Roman"/>
          <w:color w:val="222222"/>
          <w:sz w:val="24"/>
          <w:szCs w:val="24"/>
        </w:rPr>
        <w:t>ther related indirect rate matters for nonprofits.</w:t>
      </w:r>
    </w:p>
    <w:p w14:paraId="2BFE76BB" w14:textId="7BFCE49C" w:rsidR="00674006" w:rsidRDefault="00674006" w:rsidP="00674006">
      <w:pPr>
        <w:rPr>
          <w:rFonts w:ascii="Times New Roman" w:hAnsi="Times New Roman" w:cs="Times New Roman"/>
          <w:i/>
          <w:iCs/>
          <w:color w:val="222222"/>
          <w:sz w:val="24"/>
          <w:szCs w:val="24"/>
        </w:rPr>
      </w:pPr>
      <w:r w:rsidRPr="00F90B4F">
        <w:rPr>
          <w:rFonts w:ascii="Times New Roman" w:hAnsi="Times New Roman" w:cs="Times New Roman"/>
          <w:b/>
          <w:bCs/>
          <w:i/>
          <w:iCs/>
          <w:color w:val="222222"/>
          <w:sz w:val="24"/>
          <w:szCs w:val="24"/>
        </w:rPr>
        <w:t>Presenter</w:t>
      </w:r>
      <w:r w:rsidRPr="00F90B4F">
        <w:rPr>
          <w:rFonts w:ascii="Times New Roman" w:hAnsi="Times New Roman" w:cs="Times New Roman"/>
          <w:i/>
          <w:iCs/>
          <w:color w:val="222222"/>
          <w:sz w:val="24"/>
          <w:szCs w:val="24"/>
        </w:rPr>
        <w:t>: Paul Calabrese, GRF CPA’s and Advisors</w:t>
      </w:r>
    </w:p>
    <w:p w14:paraId="2FDB3BEB" w14:textId="77777777" w:rsidR="00F90B4F" w:rsidRPr="00F90B4F" w:rsidRDefault="00F90B4F" w:rsidP="00674006">
      <w:pPr>
        <w:rPr>
          <w:rFonts w:ascii="Times New Roman" w:hAnsi="Times New Roman" w:cs="Times New Roman"/>
          <w:i/>
          <w:iCs/>
          <w:sz w:val="24"/>
          <w:szCs w:val="24"/>
        </w:rPr>
      </w:pPr>
    </w:p>
    <w:p w14:paraId="05D35BFE" w14:textId="77777777" w:rsidR="00C10FD4" w:rsidRDefault="00C10FD4">
      <w:pPr>
        <w:widowControl w:val="0"/>
        <w:spacing w:line="240" w:lineRule="auto"/>
        <w:ind w:right="283"/>
        <w:rPr>
          <w:rFonts w:ascii="Times New Roman" w:hAnsi="Times New Roman" w:cs="Times New Roman"/>
          <w:b/>
          <w:sz w:val="24"/>
          <w:szCs w:val="24"/>
        </w:rPr>
      </w:pPr>
      <w:r w:rsidRPr="00C10FD4">
        <w:rPr>
          <w:rFonts w:ascii="Times New Roman" w:hAnsi="Times New Roman" w:cs="Times New Roman"/>
          <w:b/>
          <w:sz w:val="24"/>
          <w:szCs w:val="24"/>
        </w:rPr>
        <w:t>American Rescue Plan, State and Local Fiscal Recovery Funds (SLFRF) Projects in Maryland: An overview on the portfolio, subrecipient reporting, and open data tools</w:t>
      </w:r>
    </w:p>
    <w:p w14:paraId="00000036" w14:textId="6CF6C881" w:rsidR="00360167" w:rsidRDefault="00C10FD4" w:rsidP="00BC1F3C">
      <w:pPr>
        <w:widowControl w:val="0"/>
        <w:spacing w:line="240" w:lineRule="auto"/>
        <w:ind w:right="283"/>
        <w:rPr>
          <w:rFonts w:ascii="Times New Roman" w:hAnsi="Times New Roman" w:cs="Times New Roman"/>
          <w:sz w:val="24"/>
          <w:szCs w:val="24"/>
        </w:rPr>
      </w:pPr>
      <w:r w:rsidRPr="00C10FD4">
        <w:rPr>
          <w:rFonts w:ascii="Times New Roman" w:hAnsi="Times New Roman" w:cs="Times New Roman"/>
          <w:sz w:val="24"/>
          <w:szCs w:val="24"/>
        </w:rPr>
        <w:t>The State of Maryland was allocated $9.2 billion from the American Rescue Plan (ARP). $3.717 billion of it is for State and Local Fiscal Recovery Funds (SLFRF).</w:t>
      </w:r>
      <w:r>
        <w:rPr>
          <w:rFonts w:ascii="Times New Roman" w:hAnsi="Times New Roman" w:cs="Times New Roman"/>
          <w:sz w:val="24"/>
          <w:szCs w:val="24"/>
        </w:rPr>
        <w:t xml:space="preserve"> </w:t>
      </w:r>
      <w:r w:rsidRPr="00C10FD4">
        <w:rPr>
          <w:rFonts w:ascii="Times New Roman" w:hAnsi="Times New Roman" w:cs="Times New Roman"/>
          <w:sz w:val="24"/>
          <w:szCs w:val="24"/>
        </w:rPr>
        <w:t>As of June 30, 2022, the state has allocated (budgeted) $3.543 billion (95%) for SLFRF on 28 projects including 89 subprojects. And has spent (expenditures) $2.482 billion (67%).</w:t>
      </w:r>
      <w:r>
        <w:rPr>
          <w:rFonts w:ascii="Times New Roman" w:hAnsi="Times New Roman" w:cs="Times New Roman"/>
          <w:sz w:val="24"/>
          <w:szCs w:val="24"/>
        </w:rPr>
        <w:t xml:space="preserve"> </w:t>
      </w:r>
      <w:r w:rsidRPr="00C10FD4">
        <w:rPr>
          <w:rFonts w:ascii="Times New Roman" w:hAnsi="Times New Roman" w:cs="Times New Roman"/>
          <w:sz w:val="24"/>
          <w:szCs w:val="24"/>
        </w:rPr>
        <w:t xml:space="preserve">This session will provide an overview of the projects, subrecipient reports, and open data tools to make compliance easier. For example, aligning outcomes to outputs, and sourcing demographic </w:t>
      </w:r>
      <w:r w:rsidRPr="00C10FD4">
        <w:rPr>
          <w:rFonts w:ascii="Times New Roman" w:hAnsi="Times New Roman" w:cs="Times New Roman"/>
          <w:sz w:val="24"/>
          <w:szCs w:val="24"/>
        </w:rPr>
        <w:lastRenderedPageBreak/>
        <w:t>data from the state’s open data portal to compare with subrecipient performance data.</w:t>
      </w:r>
      <w:r>
        <w:rPr>
          <w:rFonts w:ascii="Times New Roman" w:hAnsi="Times New Roman" w:cs="Times New Roman"/>
          <w:sz w:val="24"/>
          <w:szCs w:val="24"/>
        </w:rPr>
        <w:t xml:space="preserve"> </w:t>
      </w:r>
      <w:r w:rsidRPr="00C10FD4">
        <w:rPr>
          <w:rFonts w:ascii="Times New Roman" w:hAnsi="Times New Roman" w:cs="Times New Roman"/>
          <w:sz w:val="24"/>
          <w:szCs w:val="24"/>
        </w:rPr>
        <w:t>We will also review the U.S. Treasury compliance and reporting requirements</w:t>
      </w:r>
      <w:r>
        <w:rPr>
          <w:rFonts w:ascii="Times New Roman" w:hAnsi="Times New Roman" w:cs="Times New Roman"/>
          <w:sz w:val="24"/>
          <w:szCs w:val="24"/>
        </w:rPr>
        <w:t xml:space="preserve"> a</w:t>
      </w:r>
      <w:r w:rsidRPr="00C10FD4">
        <w:rPr>
          <w:rFonts w:ascii="Times New Roman" w:hAnsi="Times New Roman" w:cs="Times New Roman"/>
          <w:sz w:val="24"/>
          <w:szCs w:val="24"/>
        </w:rPr>
        <w:t>nd how the value of subrecipient program evaluations is used to communicate results to state and federal leadership.</w:t>
      </w:r>
    </w:p>
    <w:p w14:paraId="5276DBB9" w14:textId="181E9676" w:rsidR="00C10FD4" w:rsidRPr="00C10FD4" w:rsidRDefault="00C10FD4" w:rsidP="00C10FD4">
      <w:pPr>
        <w:widowControl w:val="0"/>
        <w:spacing w:line="240" w:lineRule="auto"/>
        <w:ind w:right="283"/>
        <w:rPr>
          <w:rFonts w:ascii="Times New Roman" w:hAnsi="Times New Roman" w:cs="Times New Roman"/>
          <w:i/>
          <w:iCs/>
          <w:sz w:val="24"/>
          <w:szCs w:val="24"/>
        </w:rPr>
      </w:pPr>
      <w:r w:rsidRPr="00C10FD4">
        <w:rPr>
          <w:rFonts w:ascii="Times New Roman" w:hAnsi="Times New Roman" w:cs="Times New Roman"/>
          <w:b/>
          <w:bCs/>
          <w:i/>
          <w:iCs/>
          <w:sz w:val="24"/>
          <w:szCs w:val="24"/>
        </w:rPr>
        <w:t>Presenter</w:t>
      </w:r>
      <w:r w:rsidRPr="00C10FD4">
        <w:rPr>
          <w:rFonts w:ascii="Times New Roman" w:hAnsi="Times New Roman" w:cs="Times New Roman"/>
          <w:i/>
          <w:iCs/>
          <w:sz w:val="24"/>
          <w:szCs w:val="24"/>
        </w:rPr>
        <w:t>: Mike Morello, Recovery Performance Management Consultant</w:t>
      </w:r>
    </w:p>
    <w:p w14:paraId="1D8D2065" w14:textId="77777777" w:rsidR="00C10FD4" w:rsidRPr="00562DE3" w:rsidRDefault="00C10FD4" w:rsidP="00C10FD4">
      <w:pPr>
        <w:widowControl w:val="0"/>
        <w:spacing w:line="240" w:lineRule="auto"/>
        <w:ind w:right="283"/>
        <w:rPr>
          <w:rFonts w:ascii="Times New Roman" w:hAnsi="Times New Roman" w:cs="Times New Roman"/>
          <w:sz w:val="24"/>
          <w:szCs w:val="24"/>
        </w:rPr>
      </w:pPr>
    </w:p>
    <w:p w14:paraId="28C57E38" w14:textId="77777777" w:rsidR="000907E0" w:rsidRDefault="000907E0">
      <w:pPr>
        <w:spacing w:line="240" w:lineRule="auto"/>
        <w:rPr>
          <w:rFonts w:ascii="Times New Roman" w:hAnsi="Times New Roman" w:cs="Times New Roman"/>
          <w:b/>
          <w:sz w:val="24"/>
          <w:szCs w:val="24"/>
        </w:rPr>
      </w:pPr>
      <w:r w:rsidRPr="000907E0">
        <w:rPr>
          <w:rFonts w:ascii="Times New Roman" w:hAnsi="Times New Roman" w:cs="Times New Roman"/>
          <w:b/>
          <w:sz w:val="24"/>
          <w:szCs w:val="24"/>
        </w:rPr>
        <w:t xml:space="preserve">The ARPA Post Award Monitoring Challenge </w:t>
      </w:r>
    </w:p>
    <w:p w14:paraId="0000003A" w14:textId="50D2CB56" w:rsidR="00360167" w:rsidRDefault="000907E0" w:rsidP="000907E0">
      <w:pPr>
        <w:spacing w:line="240" w:lineRule="auto"/>
        <w:rPr>
          <w:rFonts w:ascii="Times New Roman" w:hAnsi="Times New Roman" w:cs="Times New Roman"/>
          <w:sz w:val="24"/>
          <w:szCs w:val="24"/>
        </w:rPr>
      </w:pPr>
      <w:r w:rsidRPr="000907E0">
        <w:rPr>
          <w:rFonts w:ascii="Times New Roman" w:hAnsi="Times New Roman" w:cs="Times New Roman"/>
          <w:sz w:val="24"/>
          <w:szCs w:val="24"/>
        </w:rPr>
        <w:t>ARPA awarding brought challenges for states who provided funding to support nonprofits. No matter</w:t>
      </w:r>
      <w:r>
        <w:rPr>
          <w:rFonts w:ascii="Times New Roman" w:hAnsi="Times New Roman" w:cs="Times New Roman"/>
          <w:sz w:val="24"/>
          <w:szCs w:val="24"/>
        </w:rPr>
        <w:t xml:space="preserve"> </w:t>
      </w:r>
      <w:r w:rsidRPr="000907E0">
        <w:rPr>
          <w:rFonts w:ascii="Times New Roman" w:hAnsi="Times New Roman" w:cs="Times New Roman"/>
          <w:sz w:val="24"/>
          <w:szCs w:val="24"/>
        </w:rPr>
        <w:t>what stage of the award, monitoring is needed to ensure nonprofits comply with ARPA requirements.</w:t>
      </w:r>
      <w:r>
        <w:rPr>
          <w:rFonts w:ascii="Times New Roman" w:hAnsi="Times New Roman" w:cs="Times New Roman"/>
          <w:sz w:val="24"/>
          <w:szCs w:val="24"/>
        </w:rPr>
        <w:t xml:space="preserve"> </w:t>
      </w:r>
      <w:r w:rsidRPr="000907E0">
        <w:rPr>
          <w:rFonts w:ascii="Times New Roman" w:hAnsi="Times New Roman" w:cs="Times New Roman"/>
          <w:sz w:val="24"/>
          <w:szCs w:val="24"/>
        </w:rPr>
        <w:t>During this presentation, we will discuss the case of a Pass-Through Entity that overcame some of</w:t>
      </w:r>
      <w:r>
        <w:rPr>
          <w:rFonts w:ascii="Times New Roman" w:hAnsi="Times New Roman" w:cs="Times New Roman"/>
          <w:sz w:val="24"/>
          <w:szCs w:val="24"/>
        </w:rPr>
        <w:t xml:space="preserve"> </w:t>
      </w:r>
      <w:r w:rsidRPr="000907E0">
        <w:rPr>
          <w:rFonts w:ascii="Times New Roman" w:hAnsi="Times New Roman" w:cs="Times New Roman"/>
          <w:sz w:val="24"/>
          <w:szCs w:val="24"/>
        </w:rPr>
        <w:t>these challenges by creating a monitoring and reporting tool that allowed for Desk Review with fewer</w:t>
      </w:r>
      <w:r>
        <w:rPr>
          <w:rFonts w:ascii="Times New Roman" w:hAnsi="Times New Roman" w:cs="Times New Roman"/>
          <w:sz w:val="24"/>
          <w:szCs w:val="24"/>
        </w:rPr>
        <w:t xml:space="preserve"> </w:t>
      </w:r>
      <w:r w:rsidRPr="000907E0">
        <w:rPr>
          <w:rFonts w:ascii="Times New Roman" w:hAnsi="Times New Roman" w:cs="Times New Roman"/>
          <w:sz w:val="24"/>
          <w:szCs w:val="24"/>
        </w:rPr>
        <w:t>onsite visits and providing the necessary documentation for a smooth closeout process.</w:t>
      </w:r>
    </w:p>
    <w:p w14:paraId="41CF7B2F" w14:textId="6CE43CD3" w:rsidR="000907E0" w:rsidRDefault="000907E0" w:rsidP="000907E0">
      <w:pPr>
        <w:spacing w:line="240" w:lineRule="auto"/>
        <w:rPr>
          <w:rFonts w:ascii="Times New Roman" w:hAnsi="Times New Roman" w:cs="Times New Roman"/>
          <w:i/>
          <w:iCs/>
          <w:sz w:val="24"/>
          <w:szCs w:val="24"/>
        </w:rPr>
      </w:pPr>
      <w:r w:rsidRPr="000907E0">
        <w:rPr>
          <w:rFonts w:ascii="Times New Roman" w:hAnsi="Times New Roman" w:cs="Times New Roman"/>
          <w:b/>
          <w:bCs/>
          <w:i/>
          <w:iCs/>
          <w:sz w:val="24"/>
          <w:szCs w:val="24"/>
        </w:rPr>
        <w:t>Presenter</w:t>
      </w:r>
      <w:r w:rsidRPr="000907E0">
        <w:rPr>
          <w:rFonts w:ascii="Times New Roman" w:hAnsi="Times New Roman" w:cs="Times New Roman"/>
          <w:i/>
          <w:iCs/>
          <w:sz w:val="24"/>
          <w:szCs w:val="24"/>
        </w:rPr>
        <w:t>: Carmen A. “</w:t>
      </w:r>
      <w:proofErr w:type="spellStart"/>
      <w:r w:rsidRPr="000907E0">
        <w:rPr>
          <w:rFonts w:ascii="Times New Roman" w:hAnsi="Times New Roman" w:cs="Times New Roman"/>
          <w:i/>
          <w:iCs/>
          <w:sz w:val="24"/>
          <w:szCs w:val="24"/>
        </w:rPr>
        <w:t>Mely</w:t>
      </w:r>
      <w:proofErr w:type="spellEnd"/>
      <w:r w:rsidRPr="000907E0">
        <w:rPr>
          <w:rFonts w:ascii="Times New Roman" w:hAnsi="Times New Roman" w:cs="Times New Roman"/>
          <w:i/>
          <w:iCs/>
          <w:sz w:val="24"/>
          <w:szCs w:val="24"/>
        </w:rPr>
        <w:t>” Torres, On Point Strategy, LLC</w:t>
      </w:r>
    </w:p>
    <w:p w14:paraId="0AFE66F6" w14:textId="77777777" w:rsidR="000907E0" w:rsidRPr="000907E0" w:rsidRDefault="000907E0" w:rsidP="000907E0">
      <w:pPr>
        <w:spacing w:line="240" w:lineRule="auto"/>
        <w:rPr>
          <w:rFonts w:ascii="Times New Roman" w:hAnsi="Times New Roman" w:cs="Times New Roman"/>
          <w:i/>
          <w:iCs/>
          <w:sz w:val="24"/>
          <w:szCs w:val="24"/>
        </w:rPr>
      </w:pPr>
    </w:p>
    <w:p w14:paraId="3A4006D2" w14:textId="77777777" w:rsidR="00677E63" w:rsidRDefault="00677E63">
      <w:pPr>
        <w:spacing w:line="240" w:lineRule="auto"/>
        <w:rPr>
          <w:rFonts w:ascii="Times New Roman" w:hAnsi="Times New Roman" w:cs="Times New Roman"/>
          <w:b/>
          <w:sz w:val="24"/>
          <w:szCs w:val="24"/>
        </w:rPr>
      </w:pPr>
      <w:r w:rsidRPr="00677E63">
        <w:rPr>
          <w:rFonts w:ascii="Times New Roman" w:hAnsi="Times New Roman" w:cs="Times New Roman"/>
          <w:b/>
          <w:sz w:val="24"/>
          <w:szCs w:val="24"/>
        </w:rPr>
        <w:t xml:space="preserve">Go or No-Go? A Guide to Deciding Which Federal Grants are right for you </w:t>
      </w:r>
    </w:p>
    <w:p w14:paraId="30E18FA7" w14:textId="01DEE169" w:rsidR="00677E63" w:rsidRDefault="00677E63" w:rsidP="00BC1F3C">
      <w:pPr>
        <w:spacing w:line="240" w:lineRule="auto"/>
        <w:rPr>
          <w:rFonts w:ascii="Times New Roman" w:hAnsi="Times New Roman" w:cs="Times New Roman"/>
          <w:sz w:val="24"/>
          <w:szCs w:val="24"/>
        </w:rPr>
      </w:pPr>
      <w:r w:rsidRPr="00677E63">
        <w:rPr>
          <w:rFonts w:ascii="Times New Roman" w:hAnsi="Times New Roman" w:cs="Times New Roman"/>
          <w:sz w:val="24"/>
          <w:szCs w:val="24"/>
        </w:rPr>
        <w:t xml:space="preserve">Federal grants are an excellent source of multi-year funding that can help organizations dramatically grow. But the application process is resource intensive. During this session, you will test-drive a simple, </w:t>
      </w:r>
      <w:r w:rsidR="00BF75D6" w:rsidRPr="00677E63">
        <w:rPr>
          <w:rFonts w:ascii="Times New Roman" w:hAnsi="Times New Roman" w:cs="Times New Roman"/>
          <w:sz w:val="24"/>
          <w:szCs w:val="24"/>
        </w:rPr>
        <w:t>timesaving</w:t>
      </w:r>
      <w:r w:rsidRPr="00677E63">
        <w:rPr>
          <w:rFonts w:ascii="Times New Roman" w:hAnsi="Times New Roman" w:cs="Times New Roman"/>
          <w:sz w:val="24"/>
          <w:szCs w:val="24"/>
        </w:rPr>
        <w:t xml:space="preserve"> “Go or No-Go” decision-making framework for federal grant seekers that will help you and your organization’s leadership quickly decide if a grant opportunity is a good fit or a dead-end. </w:t>
      </w:r>
    </w:p>
    <w:p w14:paraId="6E7BD7E6" w14:textId="1A234F98" w:rsidR="00677E63" w:rsidRDefault="00677E63" w:rsidP="00677E63">
      <w:pPr>
        <w:widowControl w:val="0"/>
        <w:spacing w:line="240" w:lineRule="auto"/>
        <w:ind w:right="350"/>
        <w:rPr>
          <w:rFonts w:ascii="Times New Roman" w:hAnsi="Times New Roman" w:cs="Times New Roman"/>
          <w:i/>
          <w:iCs/>
          <w:sz w:val="24"/>
          <w:szCs w:val="24"/>
        </w:rPr>
      </w:pPr>
      <w:r w:rsidRPr="00E22FB8">
        <w:rPr>
          <w:rFonts w:ascii="Times New Roman" w:hAnsi="Times New Roman" w:cs="Times New Roman"/>
          <w:b/>
          <w:bCs/>
          <w:i/>
          <w:iCs/>
          <w:sz w:val="24"/>
          <w:szCs w:val="24"/>
        </w:rPr>
        <w:t>Presenter</w:t>
      </w:r>
      <w:r w:rsidRPr="00E22FB8">
        <w:rPr>
          <w:rFonts w:ascii="Times New Roman" w:hAnsi="Times New Roman" w:cs="Times New Roman"/>
          <w:i/>
          <w:iCs/>
          <w:sz w:val="24"/>
          <w:szCs w:val="24"/>
        </w:rPr>
        <w:t xml:space="preserve">: </w:t>
      </w:r>
      <w:proofErr w:type="spellStart"/>
      <w:r w:rsidRPr="00E22FB8">
        <w:rPr>
          <w:rFonts w:ascii="Times New Roman" w:hAnsi="Times New Roman" w:cs="Times New Roman"/>
          <w:i/>
          <w:iCs/>
          <w:sz w:val="24"/>
          <w:szCs w:val="24"/>
        </w:rPr>
        <w:t>Dondra</w:t>
      </w:r>
      <w:proofErr w:type="spellEnd"/>
      <w:r w:rsidRPr="00E22FB8">
        <w:rPr>
          <w:rFonts w:ascii="Times New Roman" w:hAnsi="Times New Roman" w:cs="Times New Roman"/>
          <w:i/>
          <w:iCs/>
          <w:sz w:val="24"/>
          <w:szCs w:val="24"/>
        </w:rPr>
        <w:t xml:space="preserve"> Ward, </w:t>
      </w:r>
      <w:proofErr w:type="spellStart"/>
      <w:r w:rsidRPr="00E22FB8">
        <w:rPr>
          <w:rFonts w:ascii="Times New Roman" w:hAnsi="Times New Roman" w:cs="Times New Roman"/>
          <w:i/>
          <w:iCs/>
          <w:sz w:val="24"/>
          <w:szCs w:val="24"/>
        </w:rPr>
        <w:t>Sidnae</w:t>
      </w:r>
      <w:proofErr w:type="spellEnd"/>
      <w:r w:rsidRPr="00E22FB8">
        <w:rPr>
          <w:rFonts w:ascii="Times New Roman" w:hAnsi="Times New Roman" w:cs="Times New Roman"/>
          <w:i/>
          <w:iCs/>
          <w:sz w:val="24"/>
          <w:szCs w:val="24"/>
        </w:rPr>
        <w:t xml:space="preserve"> Global Research</w:t>
      </w:r>
    </w:p>
    <w:p w14:paraId="0000003D" w14:textId="20167F6E" w:rsidR="00360167" w:rsidRDefault="00360167">
      <w:pPr>
        <w:spacing w:line="240" w:lineRule="auto"/>
        <w:rPr>
          <w:rFonts w:ascii="Times New Roman" w:hAnsi="Times New Roman" w:cs="Times New Roman"/>
          <w:sz w:val="24"/>
          <w:szCs w:val="24"/>
        </w:rPr>
      </w:pPr>
    </w:p>
    <w:p w14:paraId="3775B41D" w14:textId="77777777" w:rsidR="00677E63" w:rsidRDefault="00677E63">
      <w:pPr>
        <w:spacing w:line="240" w:lineRule="auto"/>
        <w:rPr>
          <w:rFonts w:ascii="Times New Roman" w:hAnsi="Times New Roman" w:cs="Times New Roman"/>
          <w:b/>
          <w:sz w:val="24"/>
          <w:szCs w:val="24"/>
        </w:rPr>
      </w:pPr>
      <w:r w:rsidRPr="00677E63">
        <w:rPr>
          <w:rFonts w:ascii="Times New Roman" w:hAnsi="Times New Roman" w:cs="Times New Roman"/>
          <w:b/>
          <w:sz w:val="24"/>
          <w:szCs w:val="24"/>
        </w:rPr>
        <w:t>Time and Effort Documentation</w:t>
      </w:r>
    </w:p>
    <w:p w14:paraId="00000040" w14:textId="7F0DF778" w:rsidR="00360167" w:rsidRDefault="00677E63" w:rsidP="00BC1F3C">
      <w:pPr>
        <w:widowControl w:val="0"/>
        <w:spacing w:line="240" w:lineRule="auto"/>
        <w:ind w:right="283"/>
        <w:rPr>
          <w:rFonts w:ascii="Times New Roman" w:hAnsi="Times New Roman" w:cs="Times New Roman"/>
          <w:sz w:val="24"/>
          <w:szCs w:val="24"/>
        </w:rPr>
      </w:pPr>
      <w:r w:rsidRPr="00677E63">
        <w:rPr>
          <w:rFonts w:ascii="Times New Roman" w:hAnsi="Times New Roman" w:cs="Times New Roman"/>
          <w:sz w:val="24"/>
          <w:szCs w:val="24"/>
        </w:rPr>
        <w:t>The most common compliance finding for</w:t>
      </w:r>
      <w:r w:rsidR="000A6552">
        <w:rPr>
          <w:rFonts w:ascii="Times New Roman" w:hAnsi="Times New Roman" w:cs="Times New Roman"/>
          <w:sz w:val="24"/>
          <w:szCs w:val="24"/>
        </w:rPr>
        <w:t xml:space="preserve"> </w:t>
      </w:r>
      <w:r w:rsidRPr="00677E63">
        <w:rPr>
          <w:rFonts w:ascii="Times New Roman" w:hAnsi="Times New Roman" w:cs="Times New Roman"/>
          <w:sz w:val="24"/>
          <w:szCs w:val="24"/>
        </w:rPr>
        <w:t>federal grant recipients is a failure to adequately document the time and effort of the grantee’s</w:t>
      </w:r>
      <w:r w:rsidR="000A6552">
        <w:rPr>
          <w:rFonts w:ascii="Times New Roman" w:hAnsi="Times New Roman" w:cs="Times New Roman"/>
          <w:sz w:val="24"/>
          <w:szCs w:val="24"/>
        </w:rPr>
        <w:t xml:space="preserve"> </w:t>
      </w:r>
      <w:r w:rsidRPr="00677E63">
        <w:rPr>
          <w:rFonts w:ascii="Times New Roman" w:hAnsi="Times New Roman" w:cs="Times New Roman"/>
          <w:sz w:val="24"/>
          <w:szCs w:val="24"/>
        </w:rPr>
        <w:t>personnel. Fundamentally a requirement designed to ensure reasonable allocation of personnel</w:t>
      </w:r>
      <w:r w:rsidR="000A6552">
        <w:rPr>
          <w:rFonts w:ascii="Times New Roman" w:hAnsi="Times New Roman" w:cs="Times New Roman"/>
          <w:sz w:val="24"/>
          <w:szCs w:val="24"/>
        </w:rPr>
        <w:t xml:space="preserve"> </w:t>
      </w:r>
      <w:r w:rsidRPr="00677E63">
        <w:rPr>
          <w:rFonts w:ascii="Times New Roman" w:hAnsi="Times New Roman" w:cs="Times New Roman"/>
          <w:sz w:val="24"/>
          <w:szCs w:val="24"/>
        </w:rPr>
        <w:t>costs, time and effort requirements are often misunderstood. This session will focus on the</w:t>
      </w:r>
      <w:r w:rsidR="000A6552">
        <w:rPr>
          <w:rFonts w:ascii="Times New Roman" w:hAnsi="Times New Roman" w:cs="Times New Roman"/>
          <w:sz w:val="24"/>
          <w:szCs w:val="24"/>
        </w:rPr>
        <w:t xml:space="preserve"> </w:t>
      </w:r>
      <w:r w:rsidRPr="00677E63">
        <w:rPr>
          <w:rFonts w:ascii="Times New Roman" w:hAnsi="Times New Roman" w:cs="Times New Roman"/>
          <w:sz w:val="24"/>
          <w:szCs w:val="24"/>
        </w:rPr>
        <w:t>purpose of time and effort, defensible systemic approaches under current standards, and a</w:t>
      </w:r>
      <w:r w:rsidR="000A6552">
        <w:rPr>
          <w:rFonts w:ascii="Times New Roman" w:hAnsi="Times New Roman" w:cs="Times New Roman"/>
          <w:sz w:val="24"/>
          <w:szCs w:val="24"/>
        </w:rPr>
        <w:t xml:space="preserve"> </w:t>
      </w:r>
      <w:r w:rsidRPr="00677E63">
        <w:rPr>
          <w:rFonts w:ascii="Times New Roman" w:hAnsi="Times New Roman" w:cs="Times New Roman"/>
          <w:sz w:val="24"/>
          <w:szCs w:val="24"/>
        </w:rPr>
        <w:t>discussion of common mistakes.</w:t>
      </w:r>
    </w:p>
    <w:p w14:paraId="55D0462B" w14:textId="5CA9A796" w:rsidR="00677E63" w:rsidRDefault="00677E63" w:rsidP="00677E63">
      <w:pPr>
        <w:widowControl w:val="0"/>
        <w:spacing w:line="240" w:lineRule="auto"/>
        <w:ind w:right="283"/>
        <w:rPr>
          <w:rFonts w:ascii="Times New Roman" w:hAnsi="Times New Roman" w:cs="Times New Roman"/>
          <w:sz w:val="24"/>
          <w:szCs w:val="24"/>
        </w:rPr>
      </w:pPr>
      <w:r w:rsidRPr="00677E63">
        <w:rPr>
          <w:rFonts w:ascii="Times New Roman" w:hAnsi="Times New Roman" w:cs="Times New Roman"/>
          <w:b/>
          <w:bCs/>
          <w:i/>
          <w:iCs/>
          <w:sz w:val="24"/>
          <w:szCs w:val="24"/>
        </w:rPr>
        <w:t>Presenter</w:t>
      </w:r>
      <w:r w:rsidRPr="00677E63">
        <w:rPr>
          <w:rFonts w:ascii="Times New Roman" w:hAnsi="Times New Roman" w:cs="Times New Roman"/>
          <w:i/>
          <w:iCs/>
          <w:sz w:val="24"/>
          <w:szCs w:val="24"/>
        </w:rPr>
        <w:t>: Edward Waters,</w:t>
      </w:r>
      <w:r>
        <w:rPr>
          <w:rFonts w:ascii="Times New Roman" w:hAnsi="Times New Roman" w:cs="Times New Roman"/>
          <w:sz w:val="24"/>
          <w:szCs w:val="24"/>
        </w:rPr>
        <w:t xml:space="preserve"> </w:t>
      </w:r>
      <w:proofErr w:type="spellStart"/>
      <w:r w:rsidRPr="00562DE3">
        <w:rPr>
          <w:rFonts w:ascii="Times New Roman" w:hAnsi="Times New Roman" w:cs="Times New Roman"/>
          <w:i/>
          <w:iCs/>
          <w:sz w:val="24"/>
          <w:szCs w:val="24"/>
        </w:rPr>
        <w:t>Feldesman</w:t>
      </w:r>
      <w:proofErr w:type="spellEnd"/>
      <w:r w:rsidRPr="00562DE3">
        <w:rPr>
          <w:rFonts w:ascii="Times New Roman" w:hAnsi="Times New Roman" w:cs="Times New Roman"/>
          <w:i/>
          <w:iCs/>
          <w:sz w:val="24"/>
          <w:szCs w:val="24"/>
        </w:rPr>
        <w:t xml:space="preserve"> Tucker Leifer </w:t>
      </w:r>
      <w:proofErr w:type="spellStart"/>
      <w:r w:rsidRPr="00562DE3">
        <w:rPr>
          <w:rFonts w:ascii="Times New Roman" w:hAnsi="Times New Roman" w:cs="Times New Roman"/>
          <w:i/>
          <w:iCs/>
          <w:sz w:val="24"/>
          <w:szCs w:val="24"/>
        </w:rPr>
        <w:t>Fidell</w:t>
      </w:r>
      <w:proofErr w:type="spellEnd"/>
      <w:r w:rsidRPr="00562DE3">
        <w:rPr>
          <w:rFonts w:ascii="Times New Roman" w:hAnsi="Times New Roman" w:cs="Times New Roman"/>
          <w:i/>
          <w:iCs/>
          <w:sz w:val="24"/>
          <w:szCs w:val="24"/>
        </w:rPr>
        <w:t xml:space="preserve"> LLP</w:t>
      </w:r>
    </w:p>
    <w:p w14:paraId="2BB71E35" w14:textId="77777777" w:rsidR="00677E63" w:rsidRPr="00562DE3" w:rsidRDefault="00677E63" w:rsidP="00677E63">
      <w:pPr>
        <w:widowControl w:val="0"/>
        <w:spacing w:line="240" w:lineRule="auto"/>
        <w:ind w:right="283"/>
        <w:rPr>
          <w:rFonts w:ascii="Times New Roman" w:hAnsi="Times New Roman" w:cs="Times New Roman"/>
          <w:sz w:val="24"/>
          <w:szCs w:val="24"/>
        </w:rPr>
      </w:pPr>
    </w:p>
    <w:p w14:paraId="655C3186" w14:textId="3243AF4A" w:rsidR="000A6552" w:rsidRPr="000A6552" w:rsidRDefault="000A6552" w:rsidP="00F90B4F">
      <w:pPr>
        <w:widowControl w:val="0"/>
        <w:spacing w:line="240" w:lineRule="auto"/>
        <w:ind w:right="283"/>
        <w:rPr>
          <w:rFonts w:ascii="Times New Roman" w:hAnsi="Times New Roman" w:cs="Times New Roman"/>
          <w:b/>
          <w:bCs/>
          <w:sz w:val="24"/>
          <w:szCs w:val="24"/>
        </w:rPr>
      </w:pPr>
      <w:r w:rsidRPr="000A6552">
        <w:rPr>
          <w:rFonts w:ascii="Times New Roman" w:hAnsi="Times New Roman" w:cs="Times New Roman"/>
          <w:b/>
          <w:bCs/>
          <w:sz w:val="24"/>
          <w:szCs w:val="24"/>
        </w:rPr>
        <w:t>Earmarking</w:t>
      </w:r>
    </w:p>
    <w:p w14:paraId="381A7514" w14:textId="3033E7CF" w:rsidR="00DC5426" w:rsidRPr="00DC5426" w:rsidRDefault="00DC5426" w:rsidP="00BC1F3C">
      <w:pPr>
        <w:widowControl w:val="0"/>
        <w:spacing w:line="240" w:lineRule="auto"/>
        <w:ind w:right="283"/>
        <w:rPr>
          <w:rFonts w:ascii="Times New Roman" w:hAnsi="Times New Roman" w:cs="Times New Roman"/>
          <w:sz w:val="24"/>
          <w:szCs w:val="24"/>
        </w:rPr>
      </w:pPr>
      <w:r w:rsidRPr="00DC5426">
        <w:rPr>
          <w:rFonts w:ascii="Times New Roman" w:hAnsi="Times New Roman" w:cs="Times New Roman"/>
          <w:sz w:val="24"/>
          <w:szCs w:val="24"/>
        </w:rPr>
        <w:t xml:space="preserve">Earmarks set funds aside for </w:t>
      </w:r>
      <w:r>
        <w:rPr>
          <w:rFonts w:ascii="Times New Roman" w:hAnsi="Times New Roman" w:cs="Times New Roman"/>
          <w:sz w:val="24"/>
          <w:szCs w:val="24"/>
        </w:rPr>
        <w:t>specific</w:t>
      </w:r>
      <w:r w:rsidRPr="00DC5426">
        <w:rPr>
          <w:rFonts w:ascii="Times New Roman" w:hAnsi="Times New Roman" w:cs="Times New Roman"/>
          <w:sz w:val="24"/>
          <w:szCs w:val="24"/>
        </w:rPr>
        <w:t xml:space="preserve"> projects, bypassing traditional grant solicitations, and</w:t>
      </w:r>
    </w:p>
    <w:p w14:paraId="6A0A61AC" w14:textId="77777777" w:rsidR="00DC5426" w:rsidRPr="00DC5426" w:rsidRDefault="00DC5426" w:rsidP="00BC1F3C">
      <w:pPr>
        <w:widowControl w:val="0"/>
        <w:spacing w:line="240" w:lineRule="auto"/>
        <w:ind w:right="283"/>
        <w:rPr>
          <w:rFonts w:ascii="Times New Roman" w:hAnsi="Times New Roman" w:cs="Times New Roman"/>
          <w:sz w:val="24"/>
          <w:szCs w:val="24"/>
        </w:rPr>
      </w:pPr>
      <w:r w:rsidRPr="00DC5426">
        <w:rPr>
          <w:rFonts w:ascii="Times New Roman" w:hAnsi="Times New Roman" w:cs="Times New Roman"/>
          <w:sz w:val="24"/>
          <w:szCs w:val="24"/>
        </w:rPr>
        <w:t>have been part of the federal budget process since the first Congress in 1789. Because of past</w:t>
      </w:r>
    </w:p>
    <w:p w14:paraId="2B51E26C" w14:textId="77777777" w:rsidR="00DC5426" w:rsidRPr="00DC5426" w:rsidRDefault="00DC5426" w:rsidP="00BC1F3C">
      <w:pPr>
        <w:widowControl w:val="0"/>
        <w:spacing w:line="240" w:lineRule="auto"/>
        <w:ind w:right="283"/>
        <w:rPr>
          <w:rFonts w:ascii="Times New Roman" w:hAnsi="Times New Roman" w:cs="Times New Roman"/>
          <w:sz w:val="24"/>
          <w:szCs w:val="24"/>
        </w:rPr>
      </w:pPr>
      <w:r w:rsidRPr="00DC5426">
        <w:rPr>
          <w:rFonts w:ascii="Times New Roman" w:hAnsi="Times New Roman" w:cs="Times New Roman"/>
          <w:sz w:val="24"/>
          <w:szCs w:val="24"/>
        </w:rPr>
        <w:t>controversies, Congress passed a temporary moratorium on earmarks in 2011, later re-instated</w:t>
      </w:r>
    </w:p>
    <w:p w14:paraId="69A8673F" w14:textId="6F19CD01" w:rsidR="000A6552" w:rsidRPr="00DC5426" w:rsidRDefault="00DC5426" w:rsidP="00BC1F3C">
      <w:pPr>
        <w:widowControl w:val="0"/>
        <w:spacing w:line="240" w:lineRule="auto"/>
        <w:ind w:right="283"/>
        <w:rPr>
          <w:rFonts w:ascii="Times New Roman" w:hAnsi="Times New Roman" w:cs="Times New Roman"/>
          <w:sz w:val="24"/>
          <w:szCs w:val="24"/>
        </w:rPr>
      </w:pPr>
      <w:r w:rsidRPr="00DC5426">
        <w:rPr>
          <w:rFonts w:ascii="Times New Roman" w:hAnsi="Times New Roman" w:cs="Times New Roman"/>
          <w:sz w:val="24"/>
          <w:szCs w:val="24"/>
        </w:rPr>
        <w:t xml:space="preserve">in 2021. Earmarks may be an alternative for your projects. </w:t>
      </w:r>
      <w:r>
        <w:rPr>
          <w:rFonts w:ascii="Times New Roman" w:hAnsi="Times New Roman" w:cs="Times New Roman"/>
          <w:sz w:val="24"/>
          <w:szCs w:val="24"/>
        </w:rPr>
        <w:t xml:space="preserve">In this session we will discuss </w:t>
      </w:r>
      <w:r w:rsidRPr="00DC5426">
        <w:rPr>
          <w:rFonts w:ascii="Times New Roman" w:hAnsi="Times New Roman" w:cs="Times New Roman"/>
          <w:sz w:val="24"/>
          <w:szCs w:val="24"/>
        </w:rPr>
        <w:t>1</w:t>
      </w:r>
      <w:r>
        <w:rPr>
          <w:rFonts w:ascii="Times New Roman" w:hAnsi="Times New Roman" w:cs="Times New Roman"/>
          <w:sz w:val="24"/>
          <w:szCs w:val="24"/>
        </w:rPr>
        <w:t>)</w:t>
      </w:r>
      <w:r w:rsidRPr="00DC5426">
        <w:rPr>
          <w:rFonts w:ascii="Times New Roman" w:hAnsi="Times New Roman" w:cs="Times New Roman"/>
          <w:sz w:val="24"/>
          <w:szCs w:val="24"/>
        </w:rPr>
        <w:t xml:space="preserve"> Rais</w:t>
      </w:r>
      <w:r>
        <w:rPr>
          <w:rFonts w:ascii="Times New Roman" w:hAnsi="Times New Roman" w:cs="Times New Roman"/>
          <w:sz w:val="24"/>
          <w:szCs w:val="24"/>
        </w:rPr>
        <w:t>ing</w:t>
      </w:r>
      <w:r w:rsidRPr="00DC5426">
        <w:rPr>
          <w:rFonts w:ascii="Times New Roman" w:hAnsi="Times New Roman" w:cs="Times New Roman"/>
          <w:sz w:val="24"/>
          <w:szCs w:val="24"/>
        </w:rPr>
        <w:t xml:space="preserve"> awareness of earmarks</w:t>
      </w:r>
      <w:r>
        <w:rPr>
          <w:rFonts w:ascii="Times New Roman" w:hAnsi="Times New Roman" w:cs="Times New Roman"/>
          <w:sz w:val="24"/>
          <w:szCs w:val="24"/>
        </w:rPr>
        <w:t>, 2)</w:t>
      </w:r>
      <w:r w:rsidRPr="00DC5426">
        <w:rPr>
          <w:rFonts w:ascii="Times New Roman" w:hAnsi="Times New Roman" w:cs="Times New Roman"/>
          <w:sz w:val="24"/>
          <w:szCs w:val="24"/>
        </w:rPr>
        <w:t xml:space="preserve"> </w:t>
      </w:r>
      <w:r w:rsidRPr="00DC5426">
        <w:rPr>
          <w:rFonts w:ascii="Times New Roman" w:hAnsi="Times New Roman" w:cs="Times New Roman"/>
          <w:sz w:val="24"/>
          <w:szCs w:val="24"/>
        </w:rPr>
        <w:t>Identif</w:t>
      </w:r>
      <w:r>
        <w:rPr>
          <w:rFonts w:ascii="Times New Roman" w:hAnsi="Times New Roman" w:cs="Times New Roman"/>
          <w:sz w:val="24"/>
          <w:szCs w:val="24"/>
        </w:rPr>
        <w:t>ying</w:t>
      </w:r>
      <w:r w:rsidRPr="00DC5426">
        <w:rPr>
          <w:rFonts w:ascii="Times New Roman" w:hAnsi="Times New Roman" w:cs="Times New Roman"/>
          <w:sz w:val="24"/>
          <w:szCs w:val="24"/>
        </w:rPr>
        <w:t xml:space="preserve"> steps in the earmark process</w:t>
      </w:r>
      <w:r>
        <w:rPr>
          <w:rFonts w:ascii="Times New Roman" w:hAnsi="Times New Roman" w:cs="Times New Roman"/>
          <w:sz w:val="24"/>
          <w:szCs w:val="24"/>
        </w:rPr>
        <w:t xml:space="preserve">, 3) </w:t>
      </w:r>
      <w:r w:rsidRPr="00DC5426">
        <w:rPr>
          <w:rFonts w:ascii="Times New Roman" w:hAnsi="Times New Roman" w:cs="Times New Roman"/>
          <w:sz w:val="24"/>
          <w:szCs w:val="24"/>
        </w:rPr>
        <w:t>Determin</w:t>
      </w:r>
      <w:r>
        <w:rPr>
          <w:rFonts w:ascii="Times New Roman" w:hAnsi="Times New Roman" w:cs="Times New Roman"/>
          <w:sz w:val="24"/>
          <w:szCs w:val="24"/>
        </w:rPr>
        <w:t>ing</w:t>
      </w:r>
      <w:r w:rsidRPr="00DC5426">
        <w:rPr>
          <w:rFonts w:ascii="Times New Roman" w:hAnsi="Times New Roman" w:cs="Times New Roman"/>
          <w:sz w:val="24"/>
          <w:szCs w:val="24"/>
        </w:rPr>
        <w:t xml:space="preserve"> if earmarks are applicable for your organization.</w:t>
      </w:r>
    </w:p>
    <w:p w14:paraId="67E55FAC" w14:textId="2291B9B5" w:rsidR="000A6552" w:rsidRPr="00F90B4F" w:rsidRDefault="000A6552" w:rsidP="00F90B4F">
      <w:pPr>
        <w:widowControl w:val="0"/>
        <w:spacing w:line="240" w:lineRule="auto"/>
        <w:ind w:right="283"/>
        <w:rPr>
          <w:rFonts w:ascii="Times New Roman" w:hAnsi="Times New Roman" w:cs="Times New Roman"/>
          <w:b/>
          <w:i/>
          <w:iCs/>
          <w:sz w:val="24"/>
          <w:szCs w:val="24"/>
        </w:rPr>
      </w:pPr>
      <w:r>
        <w:rPr>
          <w:rFonts w:ascii="Times New Roman" w:hAnsi="Times New Roman" w:cs="Times New Roman"/>
          <w:i/>
          <w:iCs/>
          <w:sz w:val="24"/>
          <w:szCs w:val="24"/>
        </w:rPr>
        <w:t>Presenter: Karen Norris</w:t>
      </w:r>
    </w:p>
    <w:p w14:paraId="1517C2A0" w14:textId="77777777" w:rsidR="008D6F14" w:rsidRPr="00562DE3" w:rsidRDefault="008D6F14">
      <w:pPr>
        <w:widowControl w:val="0"/>
        <w:spacing w:line="240" w:lineRule="auto"/>
        <w:ind w:right="283"/>
        <w:jc w:val="center"/>
        <w:rPr>
          <w:rFonts w:ascii="Times New Roman" w:hAnsi="Times New Roman" w:cs="Times New Roman"/>
          <w:b/>
          <w:sz w:val="24"/>
          <w:szCs w:val="24"/>
        </w:rPr>
      </w:pPr>
    </w:p>
    <w:p w14:paraId="6CE37F1B" w14:textId="77777777" w:rsidR="00FD6CB4" w:rsidRDefault="00FD6CB4">
      <w:pPr>
        <w:widowControl w:val="0"/>
        <w:spacing w:line="240" w:lineRule="auto"/>
        <w:ind w:right="350"/>
        <w:rPr>
          <w:rFonts w:ascii="Times New Roman" w:hAnsi="Times New Roman" w:cs="Times New Roman"/>
          <w:b/>
          <w:sz w:val="24"/>
          <w:szCs w:val="24"/>
        </w:rPr>
      </w:pPr>
      <w:r w:rsidRPr="00FD6CB4">
        <w:rPr>
          <w:rFonts w:ascii="Times New Roman" w:hAnsi="Times New Roman" w:cs="Times New Roman"/>
          <w:b/>
          <w:sz w:val="24"/>
          <w:szCs w:val="24"/>
        </w:rPr>
        <w:t xml:space="preserve">Maryland’s Response: Using Grant Funding to Address the Opioid Crisis </w:t>
      </w:r>
    </w:p>
    <w:p w14:paraId="0000004B" w14:textId="7FC122EE" w:rsidR="00360167" w:rsidRDefault="00FD6CB4" w:rsidP="00BC1F3C">
      <w:pPr>
        <w:widowControl w:val="0"/>
        <w:spacing w:line="240" w:lineRule="auto"/>
        <w:ind w:right="350"/>
        <w:jc w:val="both"/>
        <w:rPr>
          <w:rFonts w:ascii="Times New Roman" w:hAnsi="Times New Roman" w:cs="Times New Roman"/>
          <w:sz w:val="24"/>
          <w:szCs w:val="24"/>
        </w:rPr>
      </w:pPr>
      <w:r w:rsidRPr="00FD6CB4">
        <w:rPr>
          <w:rFonts w:ascii="Times New Roman" w:hAnsi="Times New Roman" w:cs="Times New Roman"/>
          <w:sz w:val="24"/>
          <w:szCs w:val="24"/>
        </w:rPr>
        <w:t xml:space="preserve">This session will describe how the Opioid Operational Command Center (OOCC) uses grant funding at the state and local level to promote comprehensive and coordinated efforts to address the opioid crisis. Since 2017, the OOCC has used block and competitive grants to help state, local agencies, and private-sector partners bolster their efforts to reduce overdose mortality. This session will also address Maryland’s plan for using settlement funds from </w:t>
      </w:r>
      <w:r w:rsidRPr="00FD6CB4">
        <w:rPr>
          <w:rFonts w:ascii="Times New Roman" w:hAnsi="Times New Roman" w:cs="Times New Roman"/>
          <w:sz w:val="24"/>
          <w:szCs w:val="24"/>
        </w:rPr>
        <w:lastRenderedPageBreak/>
        <w:t>prescription opioid manufacturers and distributors.</w:t>
      </w:r>
    </w:p>
    <w:p w14:paraId="2F6601AB" w14:textId="188B3660" w:rsidR="00FD6CB4" w:rsidRDefault="00FD6CB4">
      <w:pPr>
        <w:widowControl w:val="0"/>
        <w:spacing w:line="240" w:lineRule="auto"/>
        <w:ind w:right="350"/>
        <w:rPr>
          <w:rFonts w:ascii="Times New Roman" w:hAnsi="Times New Roman" w:cs="Times New Roman"/>
          <w:i/>
          <w:iCs/>
          <w:sz w:val="24"/>
          <w:szCs w:val="24"/>
        </w:rPr>
      </w:pPr>
      <w:r w:rsidRPr="000907E0">
        <w:rPr>
          <w:rFonts w:ascii="Times New Roman" w:hAnsi="Times New Roman" w:cs="Times New Roman"/>
          <w:b/>
          <w:bCs/>
          <w:i/>
          <w:iCs/>
          <w:sz w:val="24"/>
          <w:szCs w:val="24"/>
        </w:rPr>
        <w:t>Presenter</w:t>
      </w:r>
      <w:r w:rsidRPr="000907E0">
        <w:rPr>
          <w:rFonts w:ascii="Times New Roman" w:hAnsi="Times New Roman" w:cs="Times New Roman"/>
          <w:i/>
          <w:iCs/>
          <w:sz w:val="24"/>
          <w:szCs w:val="24"/>
        </w:rPr>
        <w:t xml:space="preserve">: Robin </w:t>
      </w:r>
      <w:r w:rsidR="000907E0" w:rsidRPr="000907E0">
        <w:rPr>
          <w:rFonts w:ascii="Times New Roman" w:hAnsi="Times New Roman" w:cs="Times New Roman"/>
          <w:i/>
          <w:iCs/>
          <w:sz w:val="24"/>
          <w:szCs w:val="24"/>
        </w:rPr>
        <w:t>Rickard, Opioid Operational Command Center</w:t>
      </w:r>
    </w:p>
    <w:p w14:paraId="2FB1BBC5" w14:textId="77777777" w:rsidR="000907E0" w:rsidRPr="000907E0" w:rsidRDefault="000907E0">
      <w:pPr>
        <w:widowControl w:val="0"/>
        <w:spacing w:line="240" w:lineRule="auto"/>
        <w:ind w:right="350"/>
        <w:rPr>
          <w:rFonts w:ascii="Times New Roman" w:hAnsi="Times New Roman" w:cs="Times New Roman"/>
          <w:b/>
          <w:i/>
          <w:iCs/>
          <w:sz w:val="24"/>
          <w:szCs w:val="24"/>
        </w:rPr>
      </w:pPr>
    </w:p>
    <w:p w14:paraId="38D209DF" w14:textId="77777777" w:rsidR="00E22FB8" w:rsidRDefault="00E22FB8">
      <w:pPr>
        <w:widowControl w:val="0"/>
        <w:spacing w:line="240" w:lineRule="auto"/>
        <w:ind w:right="283"/>
        <w:rPr>
          <w:rFonts w:ascii="Times New Roman" w:hAnsi="Times New Roman" w:cs="Times New Roman"/>
          <w:b/>
          <w:sz w:val="24"/>
          <w:szCs w:val="24"/>
        </w:rPr>
      </w:pPr>
      <w:r w:rsidRPr="00E22FB8">
        <w:rPr>
          <w:rFonts w:ascii="Times New Roman" w:hAnsi="Times New Roman" w:cs="Times New Roman"/>
          <w:b/>
          <w:sz w:val="24"/>
          <w:szCs w:val="24"/>
        </w:rPr>
        <w:t xml:space="preserve">Trends in Federal Grant Funding </w:t>
      </w:r>
    </w:p>
    <w:p w14:paraId="0000004F" w14:textId="24D79D2E" w:rsidR="00360167" w:rsidRDefault="00E22FB8" w:rsidP="00BC1F3C">
      <w:pPr>
        <w:widowControl w:val="0"/>
        <w:spacing w:line="240" w:lineRule="auto"/>
        <w:ind w:right="350"/>
        <w:rPr>
          <w:rFonts w:ascii="Times New Roman" w:hAnsi="Times New Roman" w:cs="Times New Roman"/>
          <w:sz w:val="24"/>
          <w:szCs w:val="24"/>
        </w:rPr>
      </w:pPr>
      <w:r w:rsidRPr="00E22FB8">
        <w:rPr>
          <w:rFonts w:ascii="Times New Roman" w:hAnsi="Times New Roman" w:cs="Times New Roman"/>
          <w:sz w:val="24"/>
          <w:szCs w:val="24"/>
        </w:rPr>
        <w:t>During this session participants will learn about recent trends in federal grant funding and how to prepare their organization for what comes next. We will also discuss how the daily news cycle and politics shape funding opportunities and decisions, and ways an organization can respond to these changes without mission creep.</w:t>
      </w:r>
    </w:p>
    <w:p w14:paraId="7EB5BA95" w14:textId="0A8AFCF8" w:rsidR="00E22FB8" w:rsidRDefault="00E22FB8">
      <w:pPr>
        <w:widowControl w:val="0"/>
        <w:spacing w:line="240" w:lineRule="auto"/>
        <w:ind w:right="350"/>
        <w:rPr>
          <w:rFonts w:ascii="Times New Roman" w:hAnsi="Times New Roman" w:cs="Times New Roman"/>
          <w:i/>
          <w:iCs/>
          <w:sz w:val="24"/>
          <w:szCs w:val="24"/>
        </w:rPr>
      </w:pPr>
      <w:r w:rsidRPr="00E22FB8">
        <w:rPr>
          <w:rFonts w:ascii="Times New Roman" w:hAnsi="Times New Roman" w:cs="Times New Roman"/>
          <w:b/>
          <w:bCs/>
          <w:i/>
          <w:iCs/>
          <w:sz w:val="24"/>
          <w:szCs w:val="24"/>
        </w:rPr>
        <w:t>Presenter</w:t>
      </w:r>
      <w:r w:rsidRPr="00E22FB8">
        <w:rPr>
          <w:rFonts w:ascii="Times New Roman" w:hAnsi="Times New Roman" w:cs="Times New Roman"/>
          <w:i/>
          <w:iCs/>
          <w:sz w:val="24"/>
          <w:szCs w:val="24"/>
        </w:rPr>
        <w:t xml:space="preserve">: </w:t>
      </w:r>
      <w:proofErr w:type="spellStart"/>
      <w:r w:rsidRPr="00E22FB8">
        <w:rPr>
          <w:rFonts w:ascii="Times New Roman" w:hAnsi="Times New Roman" w:cs="Times New Roman"/>
          <w:i/>
          <w:iCs/>
          <w:sz w:val="24"/>
          <w:szCs w:val="24"/>
        </w:rPr>
        <w:t>Dondra</w:t>
      </w:r>
      <w:proofErr w:type="spellEnd"/>
      <w:r w:rsidRPr="00E22FB8">
        <w:rPr>
          <w:rFonts w:ascii="Times New Roman" w:hAnsi="Times New Roman" w:cs="Times New Roman"/>
          <w:i/>
          <w:iCs/>
          <w:sz w:val="24"/>
          <w:szCs w:val="24"/>
        </w:rPr>
        <w:t xml:space="preserve"> Ward, </w:t>
      </w:r>
      <w:proofErr w:type="spellStart"/>
      <w:r w:rsidRPr="00E22FB8">
        <w:rPr>
          <w:rFonts w:ascii="Times New Roman" w:hAnsi="Times New Roman" w:cs="Times New Roman"/>
          <w:i/>
          <w:iCs/>
          <w:sz w:val="24"/>
          <w:szCs w:val="24"/>
        </w:rPr>
        <w:t>Sidnae</w:t>
      </w:r>
      <w:proofErr w:type="spellEnd"/>
      <w:r w:rsidRPr="00E22FB8">
        <w:rPr>
          <w:rFonts w:ascii="Times New Roman" w:hAnsi="Times New Roman" w:cs="Times New Roman"/>
          <w:i/>
          <w:iCs/>
          <w:sz w:val="24"/>
          <w:szCs w:val="24"/>
        </w:rPr>
        <w:t xml:space="preserve"> Global Research</w:t>
      </w:r>
    </w:p>
    <w:p w14:paraId="11176347" w14:textId="77777777" w:rsidR="00E22FB8" w:rsidRPr="00E22FB8" w:rsidRDefault="00E22FB8">
      <w:pPr>
        <w:widowControl w:val="0"/>
        <w:spacing w:line="240" w:lineRule="auto"/>
        <w:ind w:right="350"/>
        <w:rPr>
          <w:rFonts w:ascii="Times New Roman" w:hAnsi="Times New Roman" w:cs="Times New Roman"/>
          <w:i/>
          <w:iCs/>
          <w:sz w:val="24"/>
          <w:szCs w:val="24"/>
        </w:rPr>
      </w:pPr>
    </w:p>
    <w:p w14:paraId="3E584069" w14:textId="77777777" w:rsidR="001F4A44" w:rsidRDefault="001F4A44">
      <w:pPr>
        <w:spacing w:line="240" w:lineRule="auto"/>
        <w:rPr>
          <w:rFonts w:ascii="Times New Roman" w:hAnsi="Times New Roman" w:cs="Times New Roman"/>
          <w:b/>
          <w:sz w:val="24"/>
          <w:szCs w:val="24"/>
        </w:rPr>
      </w:pPr>
      <w:r w:rsidRPr="001F4A44">
        <w:rPr>
          <w:rFonts w:ascii="Times New Roman" w:hAnsi="Times New Roman" w:cs="Times New Roman"/>
          <w:b/>
          <w:sz w:val="24"/>
          <w:szCs w:val="24"/>
        </w:rPr>
        <w:t xml:space="preserve">Introduction to the EPA Office of Inspector General </w:t>
      </w:r>
    </w:p>
    <w:p w14:paraId="00000052" w14:textId="58A35645" w:rsidR="00360167" w:rsidRDefault="001F4A44" w:rsidP="00BC1F3C">
      <w:pPr>
        <w:widowControl w:val="0"/>
        <w:spacing w:line="240" w:lineRule="auto"/>
        <w:rPr>
          <w:rFonts w:ascii="Times New Roman" w:hAnsi="Times New Roman" w:cs="Times New Roman"/>
          <w:sz w:val="24"/>
          <w:szCs w:val="24"/>
        </w:rPr>
      </w:pPr>
      <w:r w:rsidRPr="001F4A44">
        <w:rPr>
          <w:rFonts w:ascii="Times New Roman" w:hAnsi="Times New Roman" w:cs="Times New Roman"/>
          <w:sz w:val="24"/>
          <w:szCs w:val="24"/>
        </w:rPr>
        <w:t xml:space="preserve">This presentation will be a brief overview of the EPA OIG and the type of work we do to combat fraud, </w:t>
      </w:r>
      <w:proofErr w:type="gramStart"/>
      <w:r w:rsidRPr="001F4A44">
        <w:rPr>
          <w:rFonts w:ascii="Times New Roman" w:hAnsi="Times New Roman" w:cs="Times New Roman"/>
          <w:sz w:val="24"/>
          <w:szCs w:val="24"/>
        </w:rPr>
        <w:t>waste</w:t>
      </w:r>
      <w:proofErr w:type="gramEnd"/>
      <w:r w:rsidRPr="001F4A44">
        <w:rPr>
          <w:rFonts w:ascii="Times New Roman" w:hAnsi="Times New Roman" w:cs="Times New Roman"/>
          <w:sz w:val="24"/>
          <w:szCs w:val="24"/>
        </w:rPr>
        <w:t xml:space="preserve"> and abuse as it pertains to EPA funds and programs. In addition to the overview, we will provide specific fraud indicators to be on the lookout for as well as case examples.</w:t>
      </w:r>
    </w:p>
    <w:p w14:paraId="0D3173A1" w14:textId="5FB5E538" w:rsidR="001F4A44" w:rsidRDefault="001F4A44">
      <w:pPr>
        <w:widowControl w:val="0"/>
        <w:spacing w:line="240" w:lineRule="auto"/>
        <w:rPr>
          <w:rFonts w:ascii="Times New Roman" w:hAnsi="Times New Roman" w:cs="Times New Roman"/>
          <w:i/>
          <w:iCs/>
          <w:sz w:val="24"/>
          <w:szCs w:val="24"/>
        </w:rPr>
      </w:pPr>
      <w:r w:rsidRPr="001F4A44">
        <w:rPr>
          <w:rFonts w:ascii="Times New Roman" w:hAnsi="Times New Roman" w:cs="Times New Roman"/>
          <w:b/>
          <w:bCs/>
          <w:i/>
          <w:iCs/>
          <w:sz w:val="24"/>
          <w:szCs w:val="24"/>
        </w:rPr>
        <w:t>Presenters</w:t>
      </w:r>
      <w:r w:rsidRPr="001F4A44">
        <w:rPr>
          <w:rFonts w:ascii="Times New Roman" w:hAnsi="Times New Roman" w:cs="Times New Roman"/>
          <w:i/>
          <w:iCs/>
          <w:sz w:val="24"/>
          <w:szCs w:val="24"/>
        </w:rPr>
        <w:t xml:space="preserve">: Natalie </w:t>
      </w:r>
      <w:proofErr w:type="spellStart"/>
      <w:r w:rsidRPr="001F4A44">
        <w:rPr>
          <w:rFonts w:ascii="Times New Roman" w:hAnsi="Times New Roman" w:cs="Times New Roman"/>
          <w:i/>
          <w:iCs/>
          <w:sz w:val="24"/>
          <w:szCs w:val="24"/>
        </w:rPr>
        <w:t>Vowell</w:t>
      </w:r>
      <w:proofErr w:type="spellEnd"/>
      <w:r w:rsidRPr="001F4A44">
        <w:rPr>
          <w:rFonts w:ascii="Times New Roman" w:hAnsi="Times New Roman" w:cs="Times New Roman"/>
          <w:i/>
          <w:iCs/>
          <w:sz w:val="24"/>
          <w:szCs w:val="24"/>
        </w:rPr>
        <w:t xml:space="preserve"> and Jeremy Wier, Environmental Protection Agency – Office of Inspector General</w:t>
      </w:r>
    </w:p>
    <w:p w14:paraId="602791F3" w14:textId="6916F3BD" w:rsidR="000A668F" w:rsidRDefault="000A668F">
      <w:pPr>
        <w:widowControl w:val="0"/>
        <w:spacing w:line="240" w:lineRule="auto"/>
        <w:rPr>
          <w:rFonts w:ascii="Times New Roman" w:hAnsi="Times New Roman" w:cs="Times New Roman"/>
          <w:i/>
          <w:iCs/>
          <w:sz w:val="24"/>
          <w:szCs w:val="24"/>
        </w:rPr>
      </w:pPr>
    </w:p>
    <w:p w14:paraId="57DD7D9A" w14:textId="77777777" w:rsidR="000A668F" w:rsidRDefault="000A668F" w:rsidP="000A668F">
      <w:pPr>
        <w:widowControl w:val="0"/>
        <w:spacing w:line="240" w:lineRule="auto"/>
        <w:ind w:right="283"/>
        <w:rPr>
          <w:rFonts w:ascii="Times New Roman" w:hAnsi="Times New Roman" w:cs="Times New Roman"/>
          <w:b/>
          <w:sz w:val="24"/>
          <w:szCs w:val="24"/>
        </w:rPr>
      </w:pPr>
      <w:r w:rsidRPr="001F4A44">
        <w:rPr>
          <w:rFonts w:ascii="Times New Roman" w:hAnsi="Times New Roman" w:cs="Times New Roman"/>
          <w:b/>
          <w:sz w:val="24"/>
          <w:szCs w:val="24"/>
        </w:rPr>
        <w:t xml:space="preserve">How the Future of Data Standardization will Impact the State of Maryland </w:t>
      </w:r>
    </w:p>
    <w:p w14:paraId="67285848" w14:textId="77777777" w:rsidR="000A668F" w:rsidRDefault="000A668F" w:rsidP="00BC1F3C">
      <w:pPr>
        <w:widowControl w:val="0"/>
        <w:spacing w:line="240" w:lineRule="auto"/>
        <w:ind w:right="283"/>
        <w:rPr>
          <w:rFonts w:ascii="Times New Roman" w:hAnsi="Times New Roman" w:cs="Times New Roman"/>
          <w:sz w:val="24"/>
          <w:szCs w:val="24"/>
        </w:rPr>
      </w:pPr>
      <w:r w:rsidRPr="001F4A44">
        <w:rPr>
          <w:rFonts w:ascii="Times New Roman" w:hAnsi="Times New Roman" w:cs="Times New Roman"/>
          <w:sz w:val="24"/>
          <w:szCs w:val="24"/>
        </w:rPr>
        <w:t>The GREAT Act was designed to create efficiency and oversight in Federal grant spending by improving reporting practices and data collection, including adopting data standards. The Federal government is increasingly interested in using the Federal Integrated Business Framework (FIBF) as the core of data elements. This presentation focuses on how the State of Maryland can prepare for this change by standardizing data and processes for reporting to provide full visibility into compliance and outcomes.</w:t>
      </w:r>
    </w:p>
    <w:p w14:paraId="11CFAC1C" w14:textId="77777777" w:rsidR="000A668F" w:rsidRDefault="000A668F" w:rsidP="000A668F">
      <w:pPr>
        <w:widowControl w:val="0"/>
        <w:spacing w:line="240" w:lineRule="auto"/>
        <w:ind w:right="283"/>
        <w:rPr>
          <w:rFonts w:ascii="Times New Roman" w:hAnsi="Times New Roman" w:cs="Times New Roman"/>
          <w:i/>
          <w:iCs/>
          <w:sz w:val="24"/>
          <w:szCs w:val="24"/>
        </w:rPr>
      </w:pPr>
      <w:r w:rsidRPr="001F4A44">
        <w:rPr>
          <w:rFonts w:ascii="Times New Roman" w:hAnsi="Times New Roman" w:cs="Times New Roman"/>
          <w:b/>
          <w:bCs/>
          <w:i/>
          <w:iCs/>
          <w:sz w:val="24"/>
          <w:szCs w:val="24"/>
        </w:rPr>
        <w:t>Presenter</w:t>
      </w:r>
      <w:r>
        <w:rPr>
          <w:rFonts w:ascii="Times New Roman" w:hAnsi="Times New Roman" w:cs="Times New Roman"/>
          <w:b/>
          <w:bCs/>
          <w:i/>
          <w:iCs/>
          <w:sz w:val="24"/>
          <w:szCs w:val="24"/>
        </w:rPr>
        <w:t>s</w:t>
      </w:r>
      <w:r w:rsidRPr="001F4A44">
        <w:rPr>
          <w:rFonts w:ascii="Times New Roman" w:hAnsi="Times New Roman" w:cs="Times New Roman"/>
          <w:i/>
          <w:iCs/>
          <w:sz w:val="24"/>
          <w:szCs w:val="24"/>
        </w:rPr>
        <w:t>: Adam Roth</w:t>
      </w:r>
      <w:r>
        <w:rPr>
          <w:rFonts w:ascii="Times New Roman" w:hAnsi="Times New Roman" w:cs="Times New Roman"/>
          <w:i/>
          <w:iCs/>
          <w:sz w:val="24"/>
          <w:szCs w:val="24"/>
        </w:rPr>
        <w:t xml:space="preserve"> and Jason Yu</w:t>
      </w:r>
      <w:r w:rsidRPr="001F4A44">
        <w:rPr>
          <w:rFonts w:ascii="Times New Roman" w:hAnsi="Times New Roman" w:cs="Times New Roman"/>
          <w:i/>
          <w:iCs/>
          <w:sz w:val="24"/>
          <w:szCs w:val="24"/>
        </w:rPr>
        <w:t xml:space="preserve">, </w:t>
      </w:r>
      <w:proofErr w:type="spellStart"/>
      <w:r w:rsidRPr="001F4A44">
        <w:rPr>
          <w:rFonts w:ascii="Times New Roman" w:hAnsi="Times New Roman" w:cs="Times New Roman"/>
          <w:i/>
          <w:iCs/>
          <w:sz w:val="24"/>
          <w:szCs w:val="24"/>
        </w:rPr>
        <w:t>Amplifund</w:t>
      </w:r>
      <w:proofErr w:type="spellEnd"/>
    </w:p>
    <w:p w14:paraId="670A5B80" w14:textId="77777777" w:rsidR="000A668F" w:rsidRPr="001F4A44" w:rsidRDefault="000A668F" w:rsidP="000A668F">
      <w:pPr>
        <w:widowControl w:val="0"/>
        <w:spacing w:line="240" w:lineRule="auto"/>
        <w:ind w:right="283"/>
        <w:rPr>
          <w:rFonts w:ascii="Times New Roman" w:hAnsi="Times New Roman" w:cs="Times New Roman"/>
          <w:i/>
          <w:iCs/>
          <w:sz w:val="24"/>
          <w:szCs w:val="24"/>
        </w:rPr>
      </w:pPr>
    </w:p>
    <w:p w14:paraId="3091790C" w14:textId="77777777" w:rsidR="000A668F" w:rsidRDefault="000A668F">
      <w:pPr>
        <w:widowControl w:val="0"/>
        <w:spacing w:line="240" w:lineRule="auto"/>
        <w:rPr>
          <w:rFonts w:ascii="Times New Roman" w:hAnsi="Times New Roman" w:cs="Times New Roman"/>
          <w:i/>
          <w:iCs/>
          <w:sz w:val="24"/>
          <w:szCs w:val="24"/>
        </w:rPr>
      </w:pPr>
    </w:p>
    <w:sectPr w:rsidR="000A668F" w:rsidSect="00BC1F3C">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67"/>
    <w:rsid w:val="000907E0"/>
    <w:rsid w:val="000A6552"/>
    <w:rsid w:val="000A668F"/>
    <w:rsid w:val="001F4A44"/>
    <w:rsid w:val="002E1E9D"/>
    <w:rsid w:val="002F7A2D"/>
    <w:rsid w:val="003465A8"/>
    <w:rsid w:val="00360167"/>
    <w:rsid w:val="00562DE3"/>
    <w:rsid w:val="0056626D"/>
    <w:rsid w:val="00674006"/>
    <w:rsid w:val="00677E63"/>
    <w:rsid w:val="008D6F14"/>
    <w:rsid w:val="00991D3A"/>
    <w:rsid w:val="00BC1F3C"/>
    <w:rsid w:val="00BF75D6"/>
    <w:rsid w:val="00C10FD4"/>
    <w:rsid w:val="00C754EF"/>
    <w:rsid w:val="00DC5426"/>
    <w:rsid w:val="00E22FB8"/>
    <w:rsid w:val="00F90B4F"/>
    <w:rsid w:val="00FD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5D0CF"/>
  <w15:docId w15:val="{ABAA4323-E89B-44E0-98DC-F7A01C8B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07123">
      <w:bodyDiv w:val="1"/>
      <w:marLeft w:val="0"/>
      <w:marRight w:val="0"/>
      <w:marTop w:val="0"/>
      <w:marBottom w:val="0"/>
      <w:divBdr>
        <w:top w:val="none" w:sz="0" w:space="0" w:color="auto"/>
        <w:left w:val="none" w:sz="0" w:space="0" w:color="auto"/>
        <w:bottom w:val="none" w:sz="0" w:space="0" w:color="auto"/>
        <w:right w:val="none" w:sz="0" w:space="0" w:color="auto"/>
      </w:divBdr>
    </w:div>
    <w:div w:id="251010178">
      <w:bodyDiv w:val="1"/>
      <w:marLeft w:val="0"/>
      <w:marRight w:val="0"/>
      <w:marTop w:val="0"/>
      <w:marBottom w:val="0"/>
      <w:divBdr>
        <w:top w:val="none" w:sz="0" w:space="0" w:color="auto"/>
        <w:left w:val="none" w:sz="0" w:space="0" w:color="auto"/>
        <w:bottom w:val="none" w:sz="0" w:space="0" w:color="auto"/>
        <w:right w:val="none" w:sz="0" w:space="0" w:color="auto"/>
      </w:divBdr>
    </w:div>
    <w:div w:id="434834958">
      <w:bodyDiv w:val="1"/>
      <w:marLeft w:val="0"/>
      <w:marRight w:val="0"/>
      <w:marTop w:val="0"/>
      <w:marBottom w:val="0"/>
      <w:divBdr>
        <w:top w:val="none" w:sz="0" w:space="0" w:color="auto"/>
        <w:left w:val="none" w:sz="0" w:space="0" w:color="auto"/>
        <w:bottom w:val="none" w:sz="0" w:space="0" w:color="auto"/>
        <w:right w:val="none" w:sz="0" w:space="0" w:color="auto"/>
      </w:divBdr>
    </w:div>
    <w:div w:id="174537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3F8CCAAC869D48A0BFCA108CC2E1B2" ma:contentTypeVersion="2" ma:contentTypeDescription="Create a new document." ma:contentTypeScope="" ma:versionID="a6d70f3b4b7cf8adda0bdd5cc2ee0e59">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940832-50F2-4B08-9CF2-A0B4701A5825}"/>
</file>

<file path=customXml/itemProps2.xml><?xml version="1.0" encoding="utf-8"?>
<ds:datastoreItem xmlns:ds="http://schemas.openxmlformats.org/officeDocument/2006/customXml" ds:itemID="{EFE465B9-4A17-45DD-9935-D9B906FC63DF}"/>
</file>

<file path=customXml/itemProps3.xml><?xml version="1.0" encoding="utf-8"?>
<ds:datastoreItem xmlns:ds="http://schemas.openxmlformats.org/officeDocument/2006/customXml" ds:itemID="{7DC65EA0-89AF-4729-92F4-E3852E2B2F8B}"/>
</file>

<file path=customXml/itemProps4.xml><?xml version="1.0" encoding="utf-8"?>
<ds:datastoreItem xmlns:ds="http://schemas.openxmlformats.org/officeDocument/2006/customXml" ds:itemID="{358B40E0-3EB4-4F12-9CEC-485BEDC9A398}"/>
</file>

<file path=docProps/app.xml><?xml version="1.0" encoding="utf-8"?>
<Properties xmlns="http://schemas.openxmlformats.org/officeDocument/2006/extended-properties" xmlns:vt="http://schemas.openxmlformats.org/officeDocument/2006/docPropsVTypes">
  <Template>Normal</Template>
  <TotalTime>16</TotalTime>
  <Pages>4</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Colton</dc:creator>
  <cp:lastModifiedBy>Jennifer Colton</cp:lastModifiedBy>
  <cp:revision>3</cp:revision>
  <dcterms:created xsi:type="dcterms:W3CDTF">2022-09-27T14:43:00Z</dcterms:created>
  <dcterms:modified xsi:type="dcterms:W3CDTF">2022-09-29T14:53:00Z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0x010100513F8CCAAC869D48A0BFCA108CC2E1B2</vt:lpwstr>
  </property>
</Properties>
</file>